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92E36" w14:textId="79FC6297" w:rsidR="00841BE9" w:rsidRDefault="00023CB0" w:rsidP="00B53A55">
      <w:pPr>
        <w:spacing w:before="240"/>
        <w:ind w:left="0" w:firstLine="0"/>
        <w:jc w:val="center"/>
        <w:rPr>
          <w:b/>
          <w:sz w:val="32"/>
          <w:szCs w:val="32"/>
        </w:rPr>
      </w:pPr>
      <w:bookmarkStart w:id="0" w:name="_GoBack"/>
      <w:bookmarkEnd w:id="0"/>
      <w:r>
        <w:rPr>
          <w:noProof/>
          <w:lang w:val="en-US" w:eastAsia="en-US"/>
        </w:rPr>
        <w:drawing>
          <wp:anchor distT="0" distB="0" distL="114300" distR="114300" simplePos="0" relativeHeight="251659264" behindDoc="1" locked="0" layoutInCell="1" allowOverlap="1" wp14:anchorId="625F3F41" wp14:editId="1A389980">
            <wp:simplePos x="0" y="0"/>
            <wp:positionH relativeFrom="page">
              <wp:align>left</wp:align>
            </wp:positionH>
            <wp:positionV relativeFrom="page">
              <wp:posOffset>7952</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5BB12C7D" w14:textId="086B9D33" w:rsidR="009B61CB" w:rsidRPr="00427042" w:rsidRDefault="009B61CB" w:rsidP="00DE277A">
      <w:pPr>
        <w:pStyle w:val="Default"/>
        <w:jc w:val="center"/>
        <w:rPr>
          <w:b/>
          <w:bCs/>
          <w:caps/>
          <w:sz w:val="28"/>
          <w:szCs w:val="28"/>
          <w:lang w:val="fr-CA"/>
        </w:rPr>
      </w:pPr>
      <w:r>
        <w:rPr>
          <w:b/>
          <w:bCs/>
          <w:caps/>
          <w:sz w:val="28"/>
          <w:szCs w:val="28"/>
          <w:lang w:val="fr-CA"/>
        </w:rPr>
        <w:t>Initiative sur les navires silencieux (INS)</w:t>
      </w:r>
    </w:p>
    <w:p w14:paraId="7A532CB4" w14:textId="47C5C755" w:rsidR="007F1C82" w:rsidRPr="00427042" w:rsidRDefault="007F1C82" w:rsidP="00DE277A">
      <w:pPr>
        <w:pStyle w:val="Default"/>
        <w:jc w:val="center"/>
        <w:rPr>
          <w:b/>
          <w:bCs/>
          <w:caps/>
          <w:sz w:val="28"/>
          <w:szCs w:val="28"/>
          <w:lang w:val="fr-CA"/>
        </w:rPr>
      </w:pPr>
      <w:r>
        <w:rPr>
          <w:b/>
          <w:bCs/>
          <w:caps/>
          <w:sz w:val="28"/>
          <w:szCs w:val="28"/>
          <w:lang w:val="fr-CA"/>
        </w:rPr>
        <w:t>Volet industriel/académique</w:t>
      </w:r>
    </w:p>
    <w:p w14:paraId="3704AA20" w14:textId="77777777" w:rsidR="00DE277A" w:rsidRPr="00427042" w:rsidRDefault="00DE277A" w:rsidP="00DE277A">
      <w:pPr>
        <w:pStyle w:val="Default"/>
        <w:jc w:val="center"/>
        <w:rPr>
          <w:b/>
          <w:bCs/>
          <w:caps/>
          <w:sz w:val="28"/>
          <w:szCs w:val="28"/>
          <w:lang w:val="fr-CA"/>
        </w:rPr>
      </w:pPr>
      <w:r>
        <w:rPr>
          <w:b/>
          <w:bCs/>
          <w:caps/>
          <w:sz w:val="28"/>
          <w:szCs w:val="28"/>
          <w:lang w:val="fr-CA"/>
        </w:rPr>
        <w:t>Guide du demandeur</w:t>
      </w:r>
    </w:p>
    <w:p w14:paraId="48FF6AFC" w14:textId="77777777" w:rsidR="00B53A55" w:rsidRPr="00916084" w:rsidRDefault="00B53A55" w:rsidP="00504293">
      <w:pPr>
        <w:pStyle w:val="Heading2"/>
        <w:numPr>
          <w:ilvl w:val="0"/>
          <w:numId w:val="31"/>
        </w:numPr>
      </w:pPr>
      <w:bookmarkStart w:id="1" w:name="_Program_description_1"/>
      <w:bookmarkStart w:id="2" w:name="_Subheading_use_Heading"/>
      <w:bookmarkStart w:id="3" w:name="_Subheading_[HEADING_2]"/>
      <w:bookmarkStart w:id="4" w:name="_Overview:_Rail_Safety"/>
      <w:bookmarkStart w:id="5" w:name="_Another_subheading_use"/>
      <w:bookmarkStart w:id="6" w:name="_Another_subheading_[HEADING"/>
      <w:bookmarkStart w:id="7" w:name="_Program_description"/>
      <w:bookmarkEnd w:id="1"/>
      <w:bookmarkEnd w:id="2"/>
      <w:bookmarkEnd w:id="3"/>
      <w:bookmarkEnd w:id="4"/>
      <w:bookmarkEnd w:id="5"/>
      <w:bookmarkEnd w:id="6"/>
      <w:bookmarkEnd w:id="7"/>
      <w:r w:rsidRPr="00916084">
        <w:rPr>
          <w:bCs/>
          <w:lang w:val="fr-CA"/>
        </w:rPr>
        <w:t>Objectif du Programme</w:t>
      </w:r>
    </w:p>
    <w:p w14:paraId="09B82BD4" w14:textId="31B97EA7" w:rsidR="002A235A" w:rsidRPr="00427042" w:rsidRDefault="00427042" w:rsidP="002A235A">
      <w:pPr>
        <w:pStyle w:val="Default"/>
        <w:rPr>
          <w:bCs/>
          <w:sz w:val="22"/>
          <w:szCs w:val="22"/>
          <w:lang w:val="fr-CA"/>
        </w:rPr>
      </w:pPr>
      <w:bookmarkStart w:id="8" w:name="_Eligible_recipients"/>
      <w:bookmarkEnd w:id="8"/>
      <w:r w:rsidRPr="00427042">
        <w:rPr>
          <w:sz w:val="22"/>
          <w:szCs w:val="22"/>
          <w:lang w:val="fr-CA"/>
        </w:rPr>
        <w:t>L'objectif du programme est de fournir un financement sous forme de contribution</w:t>
      </w:r>
      <w:r>
        <w:rPr>
          <w:sz w:val="22"/>
          <w:szCs w:val="22"/>
          <w:lang w:val="fr-CA"/>
        </w:rPr>
        <w:t>s</w:t>
      </w:r>
      <w:r w:rsidRPr="00427042">
        <w:rPr>
          <w:sz w:val="22"/>
          <w:szCs w:val="22"/>
          <w:lang w:val="fr-CA"/>
        </w:rPr>
        <w:t xml:space="preserve"> afin de soutenir</w:t>
      </w:r>
      <w:r w:rsidR="002A235A">
        <w:rPr>
          <w:sz w:val="22"/>
          <w:szCs w:val="22"/>
          <w:lang w:val="fr-CA"/>
        </w:rPr>
        <w:t xml:space="preserve"> les projets et les activités qui </w:t>
      </w:r>
      <w:r>
        <w:rPr>
          <w:sz w:val="22"/>
          <w:szCs w:val="22"/>
          <w:lang w:val="fr-CA"/>
        </w:rPr>
        <w:t>aident</w:t>
      </w:r>
      <w:r w:rsidR="002A235A">
        <w:rPr>
          <w:sz w:val="22"/>
          <w:szCs w:val="22"/>
          <w:lang w:val="fr-CA"/>
        </w:rPr>
        <w:t xml:space="preserve"> à réduire les répercussions de la circulation des navires sur les mammifères marins et le milieu marin.  Plus précisément, l’objectif du programme sera :</w:t>
      </w:r>
    </w:p>
    <w:p w14:paraId="7976152A" w14:textId="77777777" w:rsidR="002A235A" w:rsidRPr="00C9728C" w:rsidRDefault="002A235A" w:rsidP="002A235A">
      <w:pPr>
        <w:pStyle w:val="BodyText"/>
        <w:widowControl w:val="0"/>
        <w:tabs>
          <w:tab w:val="left" w:pos="450"/>
          <w:tab w:val="left" w:pos="720"/>
        </w:tabs>
        <w:spacing w:before="0" w:after="0" w:line="240" w:lineRule="auto"/>
        <w:ind w:right="29"/>
        <w:jc w:val="both"/>
        <w:rPr>
          <w:rFonts w:cs="Calibri"/>
          <w:color w:val="231F20"/>
          <w:sz w:val="22"/>
          <w:szCs w:val="22"/>
        </w:rPr>
      </w:pPr>
    </w:p>
    <w:p w14:paraId="4216F274" w14:textId="77777777" w:rsidR="002A235A" w:rsidRPr="00C9728C" w:rsidRDefault="00B25ECC" w:rsidP="00DE277A">
      <w:pPr>
        <w:pStyle w:val="BodyText"/>
        <w:widowControl w:val="0"/>
        <w:numPr>
          <w:ilvl w:val="0"/>
          <w:numId w:val="20"/>
        </w:numPr>
        <w:tabs>
          <w:tab w:val="left" w:pos="450"/>
          <w:tab w:val="left" w:pos="720"/>
        </w:tabs>
        <w:spacing w:before="0" w:after="0" w:line="240" w:lineRule="auto"/>
        <w:ind w:left="720" w:right="29"/>
        <w:jc w:val="both"/>
        <w:rPr>
          <w:rFonts w:cs="Calibri"/>
          <w:color w:val="231F20"/>
          <w:sz w:val="22"/>
          <w:szCs w:val="22"/>
        </w:rPr>
      </w:pPr>
      <w:r>
        <w:rPr>
          <w:rFonts w:cs="Calibri"/>
          <w:color w:val="231F20"/>
          <w:sz w:val="22"/>
          <w:szCs w:val="22"/>
        </w:rPr>
        <w:t>de déterminer, de tester et de développer des technologies ainsi que des conceptions de navires silencieux.</w:t>
      </w:r>
    </w:p>
    <w:p w14:paraId="05603246" w14:textId="77777777" w:rsidR="00B53A55" w:rsidRDefault="00B53A55" w:rsidP="00504293">
      <w:pPr>
        <w:pStyle w:val="Heading2"/>
        <w:numPr>
          <w:ilvl w:val="0"/>
          <w:numId w:val="31"/>
        </w:numPr>
      </w:pPr>
      <w:r>
        <w:rPr>
          <w:bCs/>
          <w:lang w:val="fr-CA"/>
        </w:rPr>
        <w:t>Financement disponible</w:t>
      </w:r>
    </w:p>
    <w:p w14:paraId="56754AA5" w14:textId="2B720654" w:rsidR="00B53A55" w:rsidRPr="00427042" w:rsidRDefault="000C7192" w:rsidP="00B53A55">
      <w:pPr>
        <w:spacing w:before="0" w:after="0" w:line="240" w:lineRule="auto"/>
        <w:ind w:left="0" w:firstLine="0"/>
        <w:rPr>
          <w:sz w:val="22"/>
          <w:szCs w:val="22"/>
          <w:lang w:val="fr-CA"/>
        </w:rPr>
      </w:pPr>
      <w:r>
        <w:rPr>
          <w:sz w:val="22"/>
          <w:szCs w:val="22"/>
          <w:lang w:val="fr-CA"/>
        </w:rPr>
        <w:t xml:space="preserve">Le programme fournira un financement pour une </w:t>
      </w:r>
      <w:r w:rsidRPr="00916084">
        <w:rPr>
          <w:sz w:val="22"/>
          <w:szCs w:val="22"/>
          <w:lang w:val="fr-CA"/>
        </w:rPr>
        <w:t>période allant jusqu’à trois exercices</w:t>
      </w:r>
      <w:r w:rsidR="00916084">
        <w:rPr>
          <w:sz w:val="22"/>
          <w:szCs w:val="22"/>
          <w:lang w:val="fr-CA"/>
        </w:rPr>
        <w:t xml:space="preserve"> financiers</w:t>
      </w:r>
      <w:r w:rsidRPr="00916084">
        <w:rPr>
          <w:sz w:val="22"/>
          <w:szCs w:val="22"/>
          <w:lang w:val="fr-CA"/>
        </w:rPr>
        <w:t>.</w:t>
      </w:r>
      <w:r>
        <w:rPr>
          <w:sz w:val="22"/>
          <w:szCs w:val="22"/>
          <w:lang w:val="fr-CA"/>
        </w:rPr>
        <w:t xml:space="preserve">  Toutes les activités devront être terminées </w:t>
      </w:r>
      <w:r>
        <w:rPr>
          <w:b/>
          <w:bCs/>
          <w:sz w:val="22"/>
          <w:szCs w:val="22"/>
          <w:lang w:val="fr-CA"/>
        </w:rPr>
        <w:t>au plus tard le 31 mars 2024.</w:t>
      </w:r>
    </w:p>
    <w:p w14:paraId="6CBD8404" w14:textId="77777777" w:rsidR="00B53A55" w:rsidRPr="00427042" w:rsidRDefault="00B53A55" w:rsidP="00B53A55">
      <w:pPr>
        <w:spacing w:before="0" w:after="0" w:line="240" w:lineRule="auto"/>
        <w:ind w:left="0" w:firstLine="0"/>
        <w:rPr>
          <w:sz w:val="22"/>
          <w:szCs w:val="22"/>
          <w:lang w:val="fr-CA"/>
        </w:rPr>
      </w:pPr>
    </w:p>
    <w:p w14:paraId="3D7E72C2" w14:textId="7893544B" w:rsidR="003520BC" w:rsidRPr="00943CB3" w:rsidRDefault="008F289D" w:rsidP="00B53A55">
      <w:pPr>
        <w:spacing w:before="0" w:after="0" w:line="240" w:lineRule="auto"/>
        <w:ind w:left="0" w:firstLine="0"/>
        <w:rPr>
          <w:sz w:val="22"/>
          <w:szCs w:val="22"/>
        </w:rPr>
      </w:pPr>
      <w:r>
        <w:rPr>
          <w:sz w:val="22"/>
          <w:szCs w:val="22"/>
          <w:lang w:val="fr-CA"/>
        </w:rPr>
        <w:t>Le programme remboursera aux bénéficiaires jusqu’à 75 % des dépenses admissibles engagées pour le projet.  La contribution maximale par projet est de 150 000 $.</w:t>
      </w:r>
      <w:r>
        <w:rPr>
          <w:sz w:val="22"/>
          <w:szCs w:val="22"/>
          <w:lang w:val="fr-CA"/>
        </w:rPr>
        <w:tab/>
      </w:r>
    </w:p>
    <w:p w14:paraId="37054622" w14:textId="77777777" w:rsidR="00B53A55" w:rsidRDefault="00B53A55" w:rsidP="00504293">
      <w:pPr>
        <w:pStyle w:val="Heading2"/>
        <w:numPr>
          <w:ilvl w:val="0"/>
          <w:numId w:val="31"/>
        </w:numPr>
      </w:pPr>
      <w:bookmarkStart w:id="9" w:name="_Eligibility_assessment_criteria"/>
      <w:bookmarkStart w:id="10" w:name="_Eligibility_aAssessment_cCriteria"/>
      <w:bookmarkStart w:id="11" w:name="_Eligible_expenditures"/>
      <w:bookmarkEnd w:id="9"/>
      <w:bookmarkEnd w:id="10"/>
      <w:bookmarkEnd w:id="11"/>
      <w:r>
        <w:rPr>
          <w:bCs/>
          <w:lang w:val="fr-CA"/>
        </w:rPr>
        <w:t>Critères d’évaluation de l’admissibilité</w:t>
      </w:r>
    </w:p>
    <w:p w14:paraId="60604F08" w14:textId="77777777" w:rsidR="00B53A55" w:rsidRDefault="00DB0CF2" w:rsidP="00B53A55">
      <w:pPr>
        <w:pStyle w:val="Heading3"/>
        <w:spacing w:line="240" w:lineRule="auto"/>
        <w:ind w:left="360" w:hanging="360"/>
      </w:pPr>
      <w:r>
        <w:rPr>
          <w:bCs/>
          <w:lang w:val="fr-CA"/>
        </w:rPr>
        <w:t>3.1 Bénéficiaires admissibles</w:t>
      </w:r>
    </w:p>
    <w:p w14:paraId="3D168763" w14:textId="3D6E095E" w:rsidR="00B53A55" w:rsidRPr="00427042" w:rsidRDefault="00342872">
      <w:pPr>
        <w:spacing w:before="0" w:after="0" w:line="240" w:lineRule="auto"/>
        <w:rPr>
          <w:sz w:val="22"/>
          <w:szCs w:val="22"/>
          <w:lang w:val="fr-CA"/>
        </w:rPr>
      </w:pPr>
      <w:r>
        <w:rPr>
          <w:sz w:val="22"/>
          <w:szCs w:val="22"/>
          <w:lang w:val="fr-CA"/>
        </w:rPr>
        <w:t xml:space="preserve">Les bénéficiaires admissibles comprennent les entités suivantes :  </w:t>
      </w:r>
    </w:p>
    <w:p w14:paraId="2454A620" w14:textId="77777777" w:rsidR="00B25ECC" w:rsidRPr="00427042" w:rsidRDefault="00B25ECC" w:rsidP="00B53A55">
      <w:pPr>
        <w:pStyle w:val="NormalWeb"/>
        <w:spacing w:before="0" w:beforeAutospacing="0" w:after="0" w:afterAutospacing="0" w:line="240" w:lineRule="auto"/>
        <w:ind w:left="0" w:firstLine="0"/>
        <w:rPr>
          <w:sz w:val="22"/>
          <w:szCs w:val="22"/>
          <w:lang w:val="fr-CA"/>
        </w:rPr>
      </w:pPr>
    </w:p>
    <w:p w14:paraId="6C0D24CA" w14:textId="666CB226" w:rsidR="002B0729" w:rsidRDefault="002B0729" w:rsidP="003A032E">
      <w:pPr>
        <w:numPr>
          <w:ilvl w:val="0"/>
          <w:numId w:val="22"/>
        </w:numPr>
        <w:spacing w:before="0" w:after="0" w:line="240" w:lineRule="auto"/>
        <w:ind w:left="720"/>
        <w:rPr>
          <w:sz w:val="22"/>
          <w:szCs w:val="22"/>
        </w:rPr>
      </w:pPr>
      <w:r>
        <w:rPr>
          <w:sz w:val="22"/>
          <w:szCs w:val="22"/>
          <w:lang w:val="fr-CA"/>
        </w:rPr>
        <w:t>Administrations portuaires canadiennes;</w:t>
      </w:r>
    </w:p>
    <w:p w14:paraId="4F4959A9" w14:textId="77777777" w:rsidR="002B0729" w:rsidRDefault="002B0729" w:rsidP="003A032E">
      <w:pPr>
        <w:numPr>
          <w:ilvl w:val="0"/>
          <w:numId w:val="22"/>
        </w:numPr>
        <w:spacing w:before="0" w:after="0" w:line="240" w:lineRule="auto"/>
        <w:ind w:left="720"/>
        <w:rPr>
          <w:sz w:val="22"/>
          <w:szCs w:val="22"/>
        </w:rPr>
      </w:pPr>
      <w:r>
        <w:rPr>
          <w:sz w:val="22"/>
          <w:szCs w:val="22"/>
          <w:lang w:val="fr-CA"/>
        </w:rPr>
        <w:t>Organismes du secteur public</w:t>
      </w:r>
      <w:r>
        <w:rPr>
          <w:rStyle w:val="FootnoteReference"/>
          <w:sz w:val="22"/>
          <w:szCs w:val="22"/>
          <w:lang w:val="fr-CA"/>
        </w:rPr>
        <w:footnoteReference w:id="1"/>
      </w:r>
      <w:r>
        <w:rPr>
          <w:sz w:val="22"/>
          <w:szCs w:val="22"/>
          <w:lang w:val="fr-CA"/>
        </w:rPr>
        <w:t>;</w:t>
      </w:r>
    </w:p>
    <w:p w14:paraId="4C018109" w14:textId="71287484" w:rsidR="002B0729" w:rsidRPr="00427042" w:rsidRDefault="002B0729" w:rsidP="003A032E">
      <w:pPr>
        <w:numPr>
          <w:ilvl w:val="0"/>
          <w:numId w:val="22"/>
        </w:numPr>
        <w:spacing w:before="0" w:after="0" w:line="240" w:lineRule="auto"/>
        <w:ind w:left="720"/>
        <w:rPr>
          <w:sz w:val="22"/>
          <w:szCs w:val="22"/>
          <w:lang w:val="fr-CA"/>
        </w:rPr>
      </w:pPr>
      <w:r>
        <w:rPr>
          <w:sz w:val="22"/>
          <w:szCs w:val="22"/>
          <w:lang w:val="fr-CA"/>
        </w:rPr>
        <w:t xml:space="preserve">Organismes du secteur privé sans but lucratif et à but lucratif; </w:t>
      </w:r>
    </w:p>
    <w:p w14:paraId="5E76D708" w14:textId="335F7B9F" w:rsidR="00540582" w:rsidRPr="00427042" w:rsidRDefault="00540582" w:rsidP="00540582">
      <w:pPr>
        <w:numPr>
          <w:ilvl w:val="0"/>
          <w:numId w:val="22"/>
        </w:numPr>
        <w:spacing w:before="0" w:after="0" w:line="240" w:lineRule="auto"/>
        <w:ind w:left="720"/>
        <w:rPr>
          <w:sz w:val="22"/>
          <w:szCs w:val="22"/>
          <w:lang w:val="fr-CA"/>
        </w:rPr>
      </w:pPr>
      <w:r>
        <w:rPr>
          <w:sz w:val="22"/>
          <w:szCs w:val="22"/>
          <w:lang w:val="fr-CA"/>
        </w:rPr>
        <w:t>Entités étrangères et organisations internationales;</w:t>
      </w:r>
    </w:p>
    <w:p w14:paraId="3F59CD92" w14:textId="74B60B91" w:rsidR="00F93DCE" w:rsidRPr="00540582" w:rsidRDefault="00F93DCE" w:rsidP="00540582">
      <w:pPr>
        <w:numPr>
          <w:ilvl w:val="0"/>
          <w:numId w:val="22"/>
        </w:numPr>
        <w:spacing w:before="0" w:after="0" w:line="240" w:lineRule="auto"/>
        <w:ind w:left="720"/>
        <w:rPr>
          <w:sz w:val="22"/>
          <w:szCs w:val="22"/>
        </w:rPr>
      </w:pPr>
      <w:r>
        <w:rPr>
          <w:sz w:val="22"/>
          <w:szCs w:val="22"/>
          <w:lang w:val="fr-CA"/>
        </w:rPr>
        <w:t>Universités;</w:t>
      </w:r>
    </w:p>
    <w:p w14:paraId="70C00B89" w14:textId="06E6A773" w:rsidR="002B0729" w:rsidRPr="00427042" w:rsidRDefault="002B0729" w:rsidP="00131678">
      <w:pPr>
        <w:numPr>
          <w:ilvl w:val="0"/>
          <w:numId w:val="22"/>
        </w:numPr>
        <w:spacing w:before="0" w:after="0" w:line="240" w:lineRule="auto"/>
        <w:ind w:left="720"/>
        <w:rPr>
          <w:sz w:val="22"/>
          <w:szCs w:val="22"/>
          <w:lang w:val="fr-CA"/>
        </w:rPr>
      </w:pPr>
      <w:r>
        <w:rPr>
          <w:sz w:val="22"/>
          <w:szCs w:val="22"/>
          <w:lang w:val="fr-CA"/>
        </w:rPr>
        <w:t>Individus (par exemple, des experts techniques ayant des connaissances hautement spécialisées).</w:t>
      </w:r>
    </w:p>
    <w:p w14:paraId="4601FBEE" w14:textId="77777777" w:rsidR="007F1C82" w:rsidRPr="00427042" w:rsidRDefault="007F1C82" w:rsidP="002B0729">
      <w:pPr>
        <w:spacing w:before="0" w:after="0" w:line="240" w:lineRule="auto"/>
        <w:ind w:left="0" w:firstLine="0"/>
        <w:rPr>
          <w:sz w:val="22"/>
          <w:szCs w:val="22"/>
          <w:lang w:val="fr-CA"/>
        </w:rPr>
      </w:pPr>
    </w:p>
    <w:p w14:paraId="72A2A39A" w14:textId="552ABFE3" w:rsidR="002B0729" w:rsidRPr="00427042" w:rsidRDefault="007F1C82" w:rsidP="002B0729">
      <w:pPr>
        <w:spacing w:before="0" w:after="0" w:line="240" w:lineRule="auto"/>
        <w:ind w:left="0" w:firstLine="0"/>
        <w:rPr>
          <w:sz w:val="22"/>
          <w:szCs w:val="22"/>
          <w:lang w:val="fr-CA"/>
        </w:rPr>
      </w:pPr>
      <w:r>
        <w:rPr>
          <w:sz w:val="22"/>
          <w:szCs w:val="22"/>
          <w:lang w:val="fr-CA"/>
        </w:rPr>
        <w:t>N.-B. : Les contributions aux organismes à but lucratif du secteur privé et aux entités étrangères ne seront prises en compte que lorsqu’elles contribuent au bien public canadien.</w:t>
      </w:r>
    </w:p>
    <w:p w14:paraId="646B2FA6" w14:textId="77777777" w:rsidR="00EE4DDE" w:rsidRPr="00427042" w:rsidRDefault="00EE4DDE" w:rsidP="00EE4DDE">
      <w:pPr>
        <w:spacing w:before="0" w:after="0" w:line="240" w:lineRule="auto"/>
        <w:rPr>
          <w:sz w:val="22"/>
          <w:szCs w:val="22"/>
          <w:lang w:val="fr-CA"/>
        </w:rPr>
      </w:pPr>
    </w:p>
    <w:p w14:paraId="4BD0FCD5" w14:textId="77777777" w:rsidR="00DE13D9" w:rsidRPr="00427042" w:rsidRDefault="00DE13D9">
      <w:pPr>
        <w:spacing w:before="0" w:after="160" w:line="259" w:lineRule="auto"/>
        <w:ind w:left="0" w:firstLine="0"/>
        <w:rPr>
          <w:rFonts w:ascii="Cambria" w:eastAsia="SimSun" w:hAnsi="Cambria"/>
          <w:b/>
          <w:sz w:val="24"/>
          <w:szCs w:val="28"/>
          <w:lang w:val="fr-CA"/>
        </w:rPr>
      </w:pPr>
      <w:r>
        <w:rPr>
          <w:lang w:val="fr-CA"/>
        </w:rPr>
        <w:br w:type="page"/>
      </w:r>
    </w:p>
    <w:p w14:paraId="7F0FD1F0" w14:textId="11BE47B1" w:rsidR="00B53A55" w:rsidRDefault="00DB0CF2" w:rsidP="00B53A55">
      <w:pPr>
        <w:pStyle w:val="Heading3"/>
        <w:spacing w:line="240" w:lineRule="auto"/>
        <w:ind w:left="360" w:hanging="360"/>
      </w:pPr>
      <w:r>
        <w:rPr>
          <w:bCs/>
          <w:lang w:val="fr-CA"/>
        </w:rPr>
        <w:lastRenderedPageBreak/>
        <w:t xml:space="preserve">3.2 Activités admissibles </w:t>
      </w:r>
    </w:p>
    <w:p w14:paraId="1CF5CDD7" w14:textId="3068CF2D" w:rsidR="005D0A62" w:rsidRPr="00427042" w:rsidRDefault="005D0A62" w:rsidP="005D0A62">
      <w:pPr>
        <w:widowControl w:val="0"/>
        <w:spacing w:before="0" w:after="160" w:line="259" w:lineRule="auto"/>
        <w:ind w:left="0" w:firstLine="0"/>
        <w:jc w:val="both"/>
        <w:rPr>
          <w:rFonts w:eastAsia="MS Mincho" w:cs="Calibri"/>
          <w:sz w:val="22"/>
          <w:szCs w:val="22"/>
          <w:lang w:val="fr-CA"/>
        </w:rPr>
      </w:pPr>
      <w:r>
        <w:rPr>
          <w:rFonts w:eastAsia="MS Mincho" w:cs="Calibri"/>
          <w:sz w:val="22"/>
          <w:szCs w:val="22"/>
          <w:lang w:val="fr-CA"/>
        </w:rPr>
        <w:t>Des contributions seront versées pour financer les activités admissibles ci-dessous dans la mesure où les activités proposées contribuent directement à l’objectif du programme :</w:t>
      </w:r>
    </w:p>
    <w:p w14:paraId="4E59F20A" w14:textId="77777777" w:rsidR="003A56A5" w:rsidRPr="00427042" w:rsidRDefault="003A56A5" w:rsidP="007E5F40">
      <w:pPr>
        <w:numPr>
          <w:ilvl w:val="0"/>
          <w:numId w:val="24"/>
        </w:numPr>
        <w:spacing w:before="0" w:after="0" w:line="240" w:lineRule="auto"/>
        <w:ind w:left="720"/>
        <w:rPr>
          <w:rFonts w:asciiTheme="minorHAnsi" w:eastAsia="Calibri" w:hAnsiTheme="minorHAnsi" w:cstheme="minorBidi"/>
          <w:sz w:val="22"/>
          <w:szCs w:val="22"/>
          <w:lang w:val="fr-CA"/>
        </w:rPr>
      </w:pPr>
      <w:r>
        <w:rPr>
          <w:rFonts w:asciiTheme="minorHAnsi" w:eastAsia="Calibri" w:hAnsiTheme="minorHAnsi" w:cstheme="minorBidi"/>
          <w:sz w:val="22"/>
          <w:szCs w:val="22"/>
          <w:lang w:val="fr-CA"/>
        </w:rPr>
        <w:t>Conception, acquisition, formation, installation/déploiement et démonstration liées à la technologie;</w:t>
      </w:r>
    </w:p>
    <w:p w14:paraId="6BA7584D" w14:textId="77777777" w:rsidR="002F666B" w:rsidRPr="00427042" w:rsidRDefault="003A56A5" w:rsidP="007E5F40">
      <w:pPr>
        <w:numPr>
          <w:ilvl w:val="0"/>
          <w:numId w:val="24"/>
        </w:numPr>
        <w:spacing w:before="0" w:after="0" w:line="240" w:lineRule="auto"/>
        <w:ind w:left="720"/>
        <w:rPr>
          <w:rFonts w:eastAsia="Calibri"/>
          <w:sz w:val="22"/>
          <w:szCs w:val="22"/>
          <w:lang w:val="fr-CA"/>
        </w:rPr>
      </w:pPr>
      <w:r>
        <w:rPr>
          <w:rFonts w:asciiTheme="minorHAnsi" w:eastAsia="Calibri" w:hAnsiTheme="minorHAnsi"/>
          <w:sz w:val="22"/>
          <w:szCs w:val="22"/>
          <w:lang w:val="fr-CA"/>
        </w:rPr>
        <w:t xml:space="preserve">Études et recherches, notamment </w:t>
      </w:r>
      <w:r>
        <w:rPr>
          <w:rFonts w:eastAsia="Calibri"/>
          <w:sz w:val="22"/>
          <w:szCs w:val="22"/>
          <w:lang w:val="fr-CA"/>
        </w:rPr>
        <w:t>la modélisation prédictive et la conception d’outils</w:t>
      </w:r>
      <w:r>
        <w:rPr>
          <w:lang w:val="fr-CA"/>
        </w:rPr>
        <w:t>;</w:t>
      </w:r>
    </w:p>
    <w:p w14:paraId="0DF366AE" w14:textId="77777777" w:rsidR="002F666B" w:rsidRPr="00427042" w:rsidRDefault="002F666B" w:rsidP="007E5F40">
      <w:pPr>
        <w:pStyle w:val="ListParagraph"/>
        <w:numPr>
          <w:ilvl w:val="0"/>
          <w:numId w:val="24"/>
        </w:numPr>
        <w:spacing w:before="0" w:after="0" w:line="240" w:lineRule="auto"/>
        <w:ind w:left="720"/>
        <w:contextualSpacing w:val="0"/>
        <w:rPr>
          <w:rFonts w:eastAsia="Calibri"/>
          <w:sz w:val="22"/>
          <w:szCs w:val="22"/>
          <w:lang w:val="fr-CA"/>
        </w:rPr>
      </w:pPr>
      <w:r>
        <w:rPr>
          <w:rFonts w:eastAsia="Calibri"/>
          <w:sz w:val="22"/>
          <w:szCs w:val="22"/>
          <w:lang w:val="fr-CA"/>
        </w:rPr>
        <w:t>Diffusion des résultats et des pratiques exemplaires, par exemple, en élaborant, en concevant et en hébergeant un recueil de conception et rénovation</w:t>
      </w:r>
      <w:r>
        <w:rPr>
          <w:rStyle w:val="FootnoteReference"/>
          <w:rFonts w:eastAsia="Calibri"/>
          <w:sz w:val="22"/>
          <w:szCs w:val="22"/>
          <w:lang w:val="fr-CA"/>
        </w:rPr>
        <w:footnoteReference w:id="2"/>
      </w:r>
      <w:r>
        <w:rPr>
          <w:lang w:val="fr-CA"/>
        </w:rPr>
        <w:t>;</w:t>
      </w:r>
    </w:p>
    <w:p w14:paraId="4DB6D97B" w14:textId="77777777" w:rsidR="002F666B" w:rsidRPr="00427042" w:rsidRDefault="002F666B" w:rsidP="007E5F40">
      <w:pPr>
        <w:pStyle w:val="ListParagraph"/>
        <w:numPr>
          <w:ilvl w:val="0"/>
          <w:numId w:val="24"/>
        </w:numPr>
        <w:spacing w:before="0" w:after="0" w:line="240" w:lineRule="auto"/>
        <w:contextualSpacing w:val="0"/>
        <w:rPr>
          <w:rFonts w:eastAsia="Calibri"/>
          <w:sz w:val="22"/>
          <w:szCs w:val="22"/>
          <w:lang w:val="fr-CA"/>
        </w:rPr>
      </w:pPr>
      <w:r>
        <w:rPr>
          <w:sz w:val="22"/>
          <w:szCs w:val="22"/>
          <w:lang w:val="fr-CA"/>
        </w:rPr>
        <w:t>Activités de renforcement des capacités pour partager et renforcer les connaissances, l’expertise et l’engagement par le biais de diverses approches (par exemple, symposiums, ateliers, conférences, etc.).</w:t>
      </w:r>
    </w:p>
    <w:p w14:paraId="7AC22D54" w14:textId="05B3A416" w:rsidR="00B7501A" w:rsidRPr="00427042" w:rsidRDefault="00D86E77" w:rsidP="00D86E77">
      <w:pPr>
        <w:spacing w:before="120" w:after="0" w:line="240" w:lineRule="auto"/>
        <w:rPr>
          <w:rFonts w:asciiTheme="minorHAnsi" w:eastAsia="Calibri" w:hAnsiTheme="minorHAnsi" w:cstheme="minorBidi"/>
          <w:b/>
          <w:sz w:val="22"/>
          <w:szCs w:val="22"/>
          <w:lang w:val="fr-CA"/>
        </w:rPr>
      </w:pPr>
      <w:r>
        <w:rPr>
          <w:rFonts w:asciiTheme="minorHAnsi" w:eastAsia="Calibri" w:hAnsiTheme="minorHAnsi" w:cstheme="minorBidi"/>
          <w:b/>
          <w:bCs/>
          <w:sz w:val="22"/>
          <w:szCs w:val="22"/>
          <w:lang w:val="fr-CA"/>
        </w:rPr>
        <w:t>Exemples d’activités admissibles (liste non exhaustive) :</w:t>
      </w:r>
    </w:p>
    <w:p w14:paraId="0651F411" w14:textId="446903C1" w:rsidR="00D86E77" w:rsidRPr="00427042" w:rsidRDefault="00D86E77">
      <w:pPr>
        <w:pStyle w:val="ListParagraph"/>
        <w:numPr>
          <w:ilvl w:val="0"/>
          <w:numId w:val="37"/>
        </w:numPr>
        <w:spacing w:before="120" w:after="0" w:line="240" w:lineRule="auto"/>
        <w:rPr>
          <w:rFonts w:asciiTheme="minorHAnsi" w:eastAsia="Calibri" w:hAnsiTheme="minorHAnsi" w:cstheme="minorBidi"/>
          <w:sz w:val="22"/>
          <w:szCs w:val="22"/>
          <w:lang w:val="fr-CA"/>
        </w:rPr>
      </w:pPr>
      <w:r>
        <w:rPr>
          <w:rFonts w:cstheme="minorHAnsi"/>
          <w:lang w:val="fr-CA"/>
        </w:rPr>
        <w:t xml:space="preserve">Développement et maintien d’une ressource en ligne sur les technologies efficaces et éprouvées pour réduire le bruit sous-marin des navires pour les architectes navals, les propriétaires/exploitants de navires et les autres parties prenantes — selon les meilleures données disponibles. </w:t>
      </w:r>
    </w:p>
    <w:p w14:paraId="110CF018" w14:textId="376B92D5" w:rsidR="00D86E77" w:rsidRPr="00427042" w:rsidRDefault="00D86E77" w:rsidP="00D86E77">
      <w:pPr>
        <w:pStyle w:val="ListParagraph"/>
        <w:numPr>
          <w:ilvl w:val="0"/>
          <w:numId w:val="37"/>
        </w:numPr>
        <w:tabs>
          <w:tab w:val="left" w:pos="1139"/>
        </w:tabs>
        <w:spacing w:before="60" w:after="60" w:line="259" w:lineRule="auto"/>
        <w:contextualSpacing w:val="0"/>
        <w:rPr>
          <w:rFonts w:cstheme="minorHAnsi"/>
          <w:lang w:val="fr-CA"/>
        </w:rPr>
      </w:pPr>
      <w:r>
        <w:rPr>
          <w:rFonts w:cstheme="minorHAnsi"/>
          <w:lang w:val="fr-CA"/>
        </w:rPr>
        <w:t xml:space="preserve">Développer, ou améliorer le niveau de maturité technologique d’une nouvelle approche ou technologie de réduction </w:t>
      </w:r>
      <w:r>
        <w:rPr>
          <w:rFonts w:cstheme="minorHAnsi"/>
          <w:lang w:val="fr-CA"/>
        </w:rPr>
        <w:lastRenderedPageBreak/>
        <w:t>du bruit sous-marin des navires par exemple, la réduction du bruit sous-marin des systèmes de propulsion hors-bord.</w:t>
      </w:r>
      <w:r>
        <w:rPr>
          <w:rStyle w:val="FootnoteReference"/>
          <w:rFonts w:cstheme="minorHAnsi"/>
          <w:lang w:val="fr-CA"/>
        </w:rPr>
        <w:footnoteReference w:id="3"/>
      </w:r>
    </w:p>
    <w:p w14:paraId="386379DF" w14:textId="34ECBE36" w:rsidR="00D86E77" w:rsidRPr="0042704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val="fr-CA"/>
        </w:rPr>
      </w:pPr>
      <w:r>
        <w:rPr>
          <w:rFonts w:cstheme="minorHAnsi"/>
          <w:lang w:val="fr-CA"/>
        </w:rPr>
        <w:t>Tests, essais ou autres recherches sur le terrain pour quantifier l’efficacité des nouvelles conceptions de navires, des modifications ou des pratiques opérationnelles visant à réduire le bruit sous-marin des navires</w:t>
      </w:r>
      <w:r>
        <w:rPr>
          <w:rFonts w:cstheme="minorHAnsi"/>
          <w:vertAlign w:val="superscript"/>
          <w:lang w:val="fr-CA"/>
        </w:rPr>
        <w:t>3</w:t>
      </w:r>
      <w:r>
        <w:rPr>
          <w:rFonts w:cstheme="minorHAnsi"/>
          <w:lang w:val="fr-CA"/>
        </w:rPr>
        <w:t>.</w:t>
      </w:r>
    </w:p>
    <w:p w14:paraId="5B473FD8" w14:textId="2317B2AA" w:rsidR="00D86E77" w:rsidRPr="00427042" w:rsidRDefault="00D86E77" w:rsidP="00D86E77">
      <w:pPr>
        <w:pStyle w:val="ListParagraph"/>
        <w:numPr>
          <w:ilvl w:val="0"/>
          <w:numId w:val="37"/>
        </w:numPr>
        <w:tabs>
          <w:tab w:val="left" w:pos="1139"/>
        </w:tabs>
        <w:spacing w:before="60" w:after="60" w:line="259" w:lineRule="auto"/>
        <w:contextualSpacing w:val="0"/>
        <w:rPr>
          <w:rFonts w:cstheme="minorHAnsi"/>
          <w:lang w:val="fr-CA"/>
        </w:rPr>
      </w:pPr>
      <w:r>
        <w:rPr>
          <w:rFonts w:cstheme="minorHAnsi"/>
          <w:lang w:val="fr-CA"/>
        </w:rPr>
        <w:t>Développement de systèmes intégrés de surveillance en temps réel du bruit sous-marin des navires ou de la cavitation des hélices des navires.</w:t>
      </w:r>
    </w:p>
    <w:p w14:paraId="57692785" w14:textId="7EB46BDD" w:rsidR="00D86E77" w:rsidRPr="0042704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val="fr-CA"/>
        </w:rPr>
      </w:pPr>
      <w:r>
        <w:rPr>
          <w:rFonts w:cstheme="minorHAnsi"/>
          <w:lang w:val="fr-CA"/>
        </w:rPr>
        <w:t>Développement d’outils de conception et d’ingénierie des navires pour mieux tenir compte de l’atténuation du bruit rayonné sous l’eau comme critère de conception des navires (par exemple, outil logiciel de prédiction du bruit rayonné sous l’eau lié aux hélices).</w:t>
      </w:r>
    </w:p>
    <w:p w14:paraId="781E024A" w14:textId="684925EF" w:rsidR="00D86E77" w:rsidRPr="00427042" w:rsidRDefault="00D86E77" w:rsidP="00D86E77">
      <w:pPr>
        <w:pStyle w:val="ListParagraph"/>
        <w:numPr>
          <w:ilvl w:val="0"/>
          <w:numId w:val="37"/>
        </w:numPr>
        <w:tabs>
          <w:tab w:val="left" w:pos="1139"/>
        </w:tabs>
        <w:spacing w:before="60" w:after="60" w:line="259" w:lineRule="auto"/>
        <w:contextualSpacing w:val="0"/>
        <w:rPr>
          <w:rFonts w:cstheme="minorHAnsi"/>
          <w:lang w:val="fr-CA"/>
        </w:rPr>
      </w:pPr>
      <w:r>
        <w:rPr>
          <w:rFonts w:cstheme="minorHAnsi"/>
          <w:lang w:val="fr-CA"/>
        </w:rPr>
        <w:t>Études visant à soutenir l’élaboration de plans de gestion adaptative du bruit pour les traversiers exploités dans l’habitat des mammifères marins en voie de disparition (c.-à-d. l’épaulard résidant du Sud, la baleine noire de l’Atlantique Nord, l’habitat du béluga de l’estuaire du Saint-Laurent).</w:t>
      </w:r>
    </w:p>
    <w:p w14:paraId="324ABD15" w14:textId="2BC8FFD5" w:rsidR="00D86E77" w:rsidRPr="00427042" w:rsidRDefault="00D86E77" w:rsidP="00D86E77">
      <w:pPr>
        <w:pStyle w:val="ListParagraph"/>
        <w:numPr>
          <w:ilvl w:val="0"/>
          <w:numId w:val="37"/>
        </w:numPr>
        <w:spacing w:before="120" w:after="0" w:line="240" w:lineRule="auto"/>
        <w:rPr>
          <w:rFonts w:asciiTheme="minorHAnsi" w:eastAsia="Calibri" w:hAnsiTheme="minorHAnsi" w:cstheme="minorBidi"/>
          <w:sz w:val="22"/>
          <w:szCs w:val="22"/>
          <w:lang w:val="fr-CA"/>
        </w:rPr>
      </w:pPr>
      <w:r>
        <w:rPr>
          <w:rFonts w:cstheme="minorHAnsi"/>
          <w:lang w:val="fr-CA"/>
        </w:rPr>
        <w:t>Études visant à soutenir l’élaboration de plans de gestion adaptative du bruit pour les navires d’observation des baleines qui opèrent dans l’habitat des mammifères marins en voie de disparition (c.-à-d. l’épaulard résident du Sud, la baleine noire de l’Atlantique Nord, l’habitat du béluga de l’estuaire du Saint-Laurent).</w:t>
      </w:r>
    </w:p>
    <w:p w14:paraId="18C81B10" w14:textId="590B5E40" w:rsidR="00540582" w:rsidRPr="00427042" w:rsidRDefault="00540582" w:rsidP="00540582">
      <w:pPr>
        <w:pStyle w:val="ListParagraph"/>
        <w:numPr>
          <w:ilvl w:val="0"/>
          <w:numId w:val="37"/>
        </w:numPr>
        <w:spacing w:before="120" w:after="0" w:line="240" w:lineRule="auto"/>
        <w:rPr>
          <w:rFonts w:asciiTheme="minorHAnsi" w:eastAsia="Calibri" w:hAnsiTheme="minorHAnsi" w:cstheme="minorBidi"/>
          <w:sz w:val="22"/>
          <w:szCs w:val="22"/>
          <w:lang w:val="fr-CA"/>
        </w:rPr>
      </w:pPr>
      <w:r>
        <w:rPr>
          <w:rFonts w:asciiTheme="minorHAnsi" w:eastAsia="Calibri" w:hAnsiTheme="minorHAnsi" w:cstheme="minorBidi"/>
          <w:sz w:val="22"/>
          <w:szCs w:val="22"/>
          <w:lang w:val="fr-CA"/>
        </w:rPr>
        <w:lastRenderedPageBreak/>
        <w:t xml:space="preserve">Études visant à soutenir le développement de la conception des navires d’observation des baleines, afin de réduire leur impact sonore sous-marin sur les mammifères marins menacés. </w:t>
      </w:r>
    </w:p>
    <w:p w14:paraId="78448D31" w14:textId="242BAF38" w:rsidR="00D86E77" w:rsidRPr="000846A7" w:rsidRDefault="00D86E77" w:rsidP="00D86E77">
      <w:pPr>
        <w:pStyle w:val="ListParagraph"/>
        <w:numPr>
          <w:ilvl w:val="0"/>
          <w:numId w:val="37"/>
        </w:numPr>
        <w:spacing w:before="120" w:after="0" w:line="240" w:lineRule="auto"/>
        <w:rPr>
          <w:rFonts w:cstheme="minorHAnsi"/>
          <w:lang w:val="fr-CA"/>
        </w:rPr>
      </w:pPr>
      <w:r>
        <w:rPr>
          <w:rFonts w:cstheme="minorHAnsi"/>
          <w:lang w:val="fr-CA"/>
        </w:rPr>
        <w:t>Élaborer une initiative de formation postsecondaire pour les ingénieurs maritimes et autres spécialistes fonctionnels (par exemple, les responsables des politiques), afin d’accroître la compréhension du bruit sous-marin des navires et de ses impacts sur le milieu marin.</w:t>
      </w:r>
    </w:p>
    <w:p w14:paraId="6170A01C" w14:textId="35F52800" w:rsidR="000846A7" w:rsidRPr="007C705B" w:rsidRDefault="000846A7" w:rsidP="000846A7">
      <w:pPr>
        <w:pStyle w:val="Heading3"/>
        <w:spacing w:line="240" w:lineRule="auto"/>
        <w:ind w:left="360" w:hanging="360"/>
        <w:rPr>
          <w:bCs/>
          <w:lang w:val="fr-CA"/>
        </w:rPr>
      </w:pPr>
      <w:r w:rsidRPr="007C705B">
        <w:rPr>
          <w:bCs/>
          <w:lang w:val="fr-CA"/>
        </w:rPr>
        <w:t>3.3 Preuve de financement</w:t>
      </w:r>
    </w:p>
    <w:p w14:paraId="120BF0BE" w14:textId="6B6F73B5" w:rsidR="000846A7" w:rsidRPr="000846A7" w:rsidRDefault="000846A7" w:rsidP="000846A7">
      <w:pPr>
        <w:widowControl w:val="0"/>
        <w:spacing w:before="0" w:after="160" w:line="259" w:lineRule="auto"/>
        <w:ind w:left="0" w:firstLine="0"/>
        <w:jc w:val="both"/>
        <w:rPr>
          <w:rFonts w:eastAsia="MS Mincho" w:cs="Calibri"/>
          <w:sz w:val="22"/>
          <w:szCs w:val="22"/>
          <w:lang w:val="fr-CA"/>
        </w:rPr>
      </w:pPr>
      <w:r w:rsidRPr="007C705B">
        <w:rPr>
          <w:rFonts w:eastAsia="MS Mincho" w:cs="Calibri"/>
          <w:sz w:val="22"/>
          <w:szCs w:val="22"/>
          <w:lang w:val="fr-CA"/>
        </w:rPr>
        <w:t>Les demandeurs doivent démontrer qu’ils ont obtenu un financement suffisant pour le projet en indiquant toutes les sources de fonds dans leur demande.</w:t>
      </w:r>
    </w:p>
    <w:p w14:paraId="78E98456" w14:textId="77777777" w:rsidR="00B53A55" w:rsidRDefault="00B53A55" w:rsidP="00504293">
      <w:pPr>
        <w:pStyle w:val="Heading2"/>
        <w:numPr>
          <w:ilvl w:val="0"/>
          <w:numId w:val="31"/>
        </w:numPr>
      </w:pPr>
      <w:bookmarkStart w:id="12" w:name="_Ineligible_expenditures"/>
      <w:bookmarkStart w:id="13" w:name="_4.1_Assessment_of"/>
      <w:bookmarkEnd w:id="12"/>
      <w:bookmarkEnd w:id="13"/>
      <w:r>
        <w:rPr>
          <w:bCs/>
          <w:lang w:val="fr-CA"/>
        </w:rPr>
        <w:t>Dépenses admissibles</w:t>
      </w:r>
    </w:p>
    <w:p w14:paraId="1D8DFBF5" w14:textId="6A255D03" w:rsidR="00437E69" w:rsidRPr="00C23F89" w:rsidRDefault="00B8764B" w:rsidP="00C23F89">
      <w:pPr>
        <w:spacing w:before="0" w:after="0" w:line="240" w:lineRule="auto"/>
        <w:ind w:left="0" w:firstLine="0"/>
        <w:rPr>
          <w:sz w:val="22"/>
          <w:szCs w:val="22"/>
          <w:lang w:val="fr-CA"/>
        </w:rPr>
      </w:pPr>
      <w:r>
        <w:rPr>
          <w:sz w:val="22"/>
          <w:szCs w:val="22"/>
          <w:lang w:val="fr-CA"/>
        </w:rPr>
        <w:t>Les dépenses admissibles comprennent les éléments suivants, dans la mesure où ils sont nécessaires à l’exécution d’activités admis</w:t>
      </w:r>
      <w:r w:rsidR="00C23F89">
        <w:rPr>
          <w:sz w:val="22"/>
          <w:szCs w:val="22"/>
          <w:lang w:val="fr-CA"/>
        </w:rPr>
        <w:t xml:space="preserve">sibles telles que définies dans </w:t>
      </w:r>
      <w:r w:rsidR="007E5F40">
        <w:rPr>
          <w:sz w:val="22"/>
          <w:szCs w:val="22"/>
          <w:lang w:val="fr-CA"/>
        </w:rPr>
        <w:t xml:space="preserve">la </w:t>
      </w:r>
      <w:r w:rsidR="007E5F40">
        <w:rPr>
          <w:b/>
          <w:bCs/>
          <w:sz w:val="22"/>
          <w:szCs w:val="22"/>
          <w:lang w:val="fr-CA"/>
        </w:rPr>
        <w:t>section 3</w:t>
      </w:r>
      <w:r w:rsidR="007E5F40">
        <w:rPr>
          <w:sz w:val="22"/>
          <w:szCs w:val="22"/>
          <w:lang w:val="fr-CA"/>
        </w:rPr>
        <w:t> :</w:t>
      </w:r>
    </w:p>
    <w:p w14:paraId="6B079A00"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salaires et avantages sociaux du personnel;</w:t>
      </w:r>
    </w:p>
    <w:p w14:paraId="1DABF474"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honoraires professionnels (au titre des services sous-traités);</w:t>
      </w:r>
    </w:p>
    <w:p w14:paraId="68CDC2C1"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achat ou location de technologies, équipements, logiciels, licences, données et systèmes ainsi que leur déploiement ou installation;</w:t>
      </w:r>
    </w:p>
    <w:p w14:paraId="38B5644B" w14:textId="251760AB" w:rsidR="003A56A5" w:rsidRPr="00427042" w:rsidRDefault="00552860" w:rsidP="004038D6">
      <w:pPr>
        <w:numPr>
          <w:ilvl w:val="0"/>
          <w:numId w:val="35"/>
        </w:numPr>
        <w:spacing w:before="100" w:beforeAutospacing="1" w:after="100" w:afterAutospacing="1" w:line="240" w:lineRule="auto"/>
        <w:rPr>
          <w:sz w:val="22"/>
          <w:szCs w:val="22"/>
          <w:lang w:val="fr-CA"/>
        </w:rPr>
      </w:pPr>
      <w:r>
        <w:rPr>
          <w:sz w:val="22"/>
          <w:szCs w:val="22"/>
          <w:lang w:val="fr-CA"/>
        </w:rPr>
        <w:t>sensibilisation du public, diffusion de l’information, du matériel de communication et autres coûts associés;</w:t>
      </w:r>
    </w:p>
    <w:p w14:paraId="21D56697"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frais de déplacement (coût de l’hébergement, location de véhicule et taux par kilomètre, billets d’autobus, de train ou d’avion, frais de taxi, indemnités de repas et frais accessoires) (</w:t>
      </w:r>
      <w:r>
        <w:rPr>
          <w:b/>
          <w:bCs/>
          <w:sz w:val="22"/>
          <w:szCs w:val="22"/>
          <w:lang w:val="fr-CA"/>
        </w:rPr>
        <w:t>voir remarque 1</w:t>
      </w:r>
      <w:r>
        <w:rPr>
          <w:sz w:val="22"/>
          <w:szCs w:val="22"/>
          <w:lang w:val="fr-CA"/>
        </w:rPr>
        <w:t>);</w:t>
      </w:r>
    </w:p>
    <w:p w14:paraId="12CD846D"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lastRenderedPageBreak/>
        <w:t>location de salles de réunion et d’équipements audio-vidéo;</w:t>
      </w:r>
    </w:p>
    <w:p w14:paraId="715E0DB4"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frais liés à la participation et à l’organisation de conférences et symposiums, y compris les honoraires pour les conférenciers et les services d’interprétation;</w:t>
      </w:r>
    </w:p>
    <w:p w14:paraId="4040B6DD"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coûts de formation relatifs aux nouvelles technologies, aux équipements, aux logiciels et aux systèmes;</w:t>
      </w:r>
    </w:p>
    <w:p w14:paraId="0DB41B86"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activités de renforcement des capacités pour les communautés autochtones afin de faciliter l’engagement dans le projet et de renforcer les connaissances et l’expertise concernant les innovations et les approches émergentes en matière de navires silencieux;</w:t>
      </w:r>
    </w:p>
    <w:p w14:paraId="519091FC"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dépenses liées aux télécommunications, à l’analyse des données et aux services de validation des données (par exemple, la collecte, le traitement et l’analyse des données des hydrophones);</w:t>
      </w:r>
    </w:p>
    <w:p w14:paraId="767DD163" w14:textId="77777777" w:rsidR="007466E9" w:rsidRPr="00427042" w:rsidRDefault="007466E9" w:rsidP="004038D6">
      <w:pPr>
        <w:numPr>
          <w:ilvl w:val="0"/>
          <w:numId w:val="35"/>
        </w:numPr>
        <w:spacing w:before="100" w:beforeAutospacing="1" w:after="100" w:afterAutospacing="1" w:line="240" w:lineRule="auto"/>
        <w:rPr>
          <w:sz w:val="22"/>
          <w:szCs w:val="22"/>
          <w:lang w:val="fr-CA"/>
        </w:rPr>
      </w:pPr>
      <w:r>
        <w:rPr>
          <w:sz w:val="22"/>
          <w:szCs w:val="22"/>
          <w:lang w:val="fr-CA"/>
        </w:rPr>
        <w:t>coûts d’assurance supplémentaires liés aux exigences du projet pour l’essai ou l’installation de technologies, de logiciels, de matériel, de capteurs et de tout autre équipement jugé nécessaire pour la modernisation des navires ou les nouvelles conceptions/constructions;</w:t>
      </w:r>
    </w:p>
    <w:p w14:paraId="53D6C1F8"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dépenses administratives (y compris les coûts d’administration générale, les loyers, les frais d’assurance, la location d’équipements de bureau et les frais d’adhésion) limitées à 15 % du total des dépenses admissibles;</w:t>
      </w:r>
    </w:p>
    <w:p w14:paraId="70DC1C6F" w14:textId="77777777" w:rsidR="003A56A5" w:rsidRPr="00427042" w:rsidRDefault="003A56A5" w:rsidP="004038D6">
      <w:pPr>
        <w:numPr>
          <w:ilvl w:val="0"/>
          <w:numId w:val="35"/>
        </w:numPr>
        <w:spacing w:before="100" w:beforeAutospacing="1" w:after="100" w:afterAutospacing="1" w:line="240" w:lineRule="auto"/>
        <w:rPr>
          <w:sz w:val="22"/>
          <w:szCs w:val="22"/>
          <w:lang w:val="fr-CA"/>
        </w:rPr>
      </w:pPr>
      <w:r>
        <w:rPr>
          <w:sz w:val="22"/>
          <w:szCs w:val="22"/>
          <w:lang w:val="fr-CA"/>
        </w:rPr>
        <w:t>autres dépenses qui ne sont pas incluses dans les catégories ci-dessus, comme l’indique la demande de financement, et qui sont approuvées par le ministre ou son représentant délégué afin d’atteindre les objectifs et les résultats du programme.</w:t>
      </w:r>
    </w:p>
    <w:p w14:paraId="473BCA41" w14:textId="77777777" w:rsidR="007E35C1" w:rsidRPr="00943CB3" w:rsidRDefault="007E35C1" w:rsidP="00D91065">
      <w:pPr>
        <w:spacing w:before="0" w:after="160" w:line="259" w:lineRule="auto"/>
        <w:ind w:left="0" w:firstLine="0"/>
        <w:rPr>
          <w:sz w:val="22"/>
          <w:szCs w:val="22"/>
          <w:u w:val="single"/>
        </w:rPr>
      </w:pPr>
      <w:r>
        <w:rPr>
          <w:sz w:val="22"/>
          <w:szCs w:val="22"/>
          <w:u w:val="single"/>
          <w:lang w:val="fr-CA"/>
        </w:rPr>
        <w:lastRenderedPageBreak/>
        <w:t>Les dépenses ci-dessus peuvent inclure des dépenses en nature associées à des contributions en nature. Ces dernières peuvent comprendre ce qui suit :</w:t>
      </w:r>
    </w:p>
    <w:p w14:paraId="5BCB0A3C" w14:textId="77777777" w:rsidR="007E35C1" w:rsidRPr="00427042" w:rsidRDefault="007E35C1" w:rsidP="007E5F40">
      <w:pPr>
        <w:numPr>
          <w:ilvl w:val="0"/>
          <w:numId w:val="36"/>
        </w:numPr>
        <w:spacing w:before="0" w:after="0" w:line="240" w:lineRule="auto"/>
        <w:rPr>
          <w:sz w:val="22"/>
          <w:szCs w:val="22"/>
          <w:lang w:val="fr-CA"/>
        </w:rPr>
      </w:pPr>
      <w:r>
        <w:rPr>
          <w:sz w:val="22"/>
          <w:szCs w:val="22"/>
          <w:lang w:val="fr-CA"/>
        </w:rPr>
        <w:t xml:space="preserve">marchandises, services ou biens qu’utilise le bénéficiaire pour lesquels des frais sont engagés, mais aucune somme n’est échangée; </w:t>
      </w:r>
    </w:p>
    <w:p w14:paraId="17548BD9" w14:textId="77777777" w:rsidR="007E35C1" w:rsidRPr="00427042" w:rsidRDefault="007E35C1" w:rsidP="007E5F40">
      <w:pPr>
        <w:numPr>
          <w:ilvl w:val="0"/>
          <w:numId w:val="36"/>
        </w:numPr>
        <w:spacing w:before="0" w:after="0" w:line="240" w:lineRule="auto"/>
        <w:rPr>
          <w:sz w:val="22"/>
          <w:szCs w:val="22"/>
          <w:lang w:val="fr-CA"/>
        </w:rPr>
      </w:pPr>
      <w:r>
        <w:rPr>
          <w:sz w:val="22"/>
          <w:szCs w:val="22"/>
          <w:lang w:val="fr-CA"/>
        </w:rPr>
        <w:t>dons de marchandises, de services ou de biens attribués au bénéficiaire pour lesquels aucuns frais ne sont engagés et aucune somme n’est échangée.</w:t>
      </w:r>
    </w:p>
    <w:p w14:paraId="2185B476" w14:textId="77777777" w:rsidR="007466E9" w:rsidRPr="00427042" w:rsidRDefault="007466E9" w:rsidP="00AA78EB">
      <w:pPr>
        <w:spacing w:before="100" w:beforeAutospacing="1" w:after="100" w:afterAutospacing="1" w:line="240" w:lineRule="auto"/>
        <w:ind w:left="0" w:firstLine="0"/>
        <w:rPr>
          <w:sz w:val="22"/>
          <w:szCs w:val="22"/>
          <w:lang w:val="fr-CA"/>
        </w:rPr>
      </w:pPr>
      <w:r>
        <w:rPr>
          <w:sz w:val="22"/>
          <w:szCs w:val="22"/>
          <w:lang w:val="fr-CA"/>
        </w:rPr>
        <w:t>Les dons ne peuvent pas être remboursés, mais ils peuvent faire partie des dépenses totales admissibles du projet ou des activités du bénéficiaire.</w:t>
      </w:r>
    </w:p>
    <w:p w14:paraId="2168E84A" w14:textId="77777777" w:rsidR="00AA78EB" w:rsidRPr="00427042" w:rsidRDefault="00AA78EB" w:rsidP="00AA78EB">
      <w:pPr>
        <w:spacing w:before="100" w:beforeAutospacing="1" w:after="100" w:afterAutospacing="1" w:line="240" w:lineRule="auto"/>
        <w:ind w:left="0" w:firstLine="0"/>
        <w:rPr>
          <w:i/>
          <w:sz w:val="22"/>
          <w:szCs w:val="22"/>
          <w:lang w:val="fr-CA"/>
        </w:rPr>
      </w:pPr>
      <w:r>
        <w:rPr>
          <w:b/>
          <w:bCs/>
          <w:i/>
          <w:iCs/>
          <w:sz w:val="22"/>
          <w:szCs w:val="22"/>
          <w:lang w:val="fr-CA"/>
        </w:rPr>
        <w:t>Nota 1 :</w:t>
      </w:r>
      <w:r>
        <w:rPr>
          <w:i/>
          <w:iCs/>
          <w:sz w:val="22"/>
          <w:szCs w:val="22"/>
          <w:lang w:val="fr-CA"/>
        </w:rPr>
        <w:t xml:space="preserve"> Les demandeurs doivent fonder leurs montants sur les taux et indemnités fixés par la </w:t>
      </w:r>
      <w:hyperlink r:id="rId9" w:history="1">
        <w:r>
          <w:rPr>
            <w:i/>
            <w:iCs/>
            <w:color w:val="0000FF"/>
            <w:sz w:val="22"/>
            <w:szCs w:val="22"/>
            <w:u w:val="single"/>
            <w:lang w:val="fr-CA"/>
          </w:rPr>
          <w:t>Directive sur les voyages du Conseil national mixte</w:t>
        </w:r>
      </w:hyperlink>
      <w:r>
        <w:rPr>
          <w:i/>
          <w:iCs/>
          <w:sz w:val="22"/>
          <w:szCs w:val="22"/>
          <w:lang w:val="fr-CA"/>
        </w:rPr>
        <w:t>.</w:t>
      </w:r>
    </w:p>
    <w:p w14:paraId="50A4150E" w14:textId="77777777" w:rsidR="00B53A55" w:rsidRDefault="00B53A55" w:rsidP="00504293">
      <w:pPr>
        <w:pStyle w:val="Heading2"/>
        <w:numPr>
          <w:ilvl w:val="0"/>
          <w:numId w:val="31"/>
        </w:numPr>
      </w:pPr>
      <w:bookmarkStart w:id="14" w:name="_Available_funding"/>
      <w:bookmarkEnd w:id="14"/>
      <w:r>
        <w:rPr>
          <w:bCs/>
          <w:lang w:val="fr-CA"/>
        </w:rPr>
        <w:t>Durée et approbation des projets admissibles</w:t>
      </w:r>
    </w:p>
    <w:p w14:paraId="41C8A070" w14:textId="77777777" w:rsidR="00B53A55" w:rsidRPr="00427042" w:rsidRDefault="00B53A55" w:rsidP="007E5F40">
      <w:pPr>
        <w:numPr>
          <w:ilvl w:val="0"/>
          <w:numId w:val="3"/>
        </w:numPr>
        <w:spacing w:before="0" w:after="0" w:line="240" w:lineRule="auto"/>
        <w:rPr>
          <w:sz w:val="22"/>
          <w:szCs w:val="22"/>
          <w:lang w:val="fr-CA"/>
        </w:rPr>
      </w:pPr>
      <w:r>
        <w:rPr>
          <w:sz w:val="22"/>
          <w:szCs w:val="22"/>
          <w:lang w:val="fr-CA"/>
        </w:rPr>
        <w:t>Les projets peuvent commencer à engager des dépenses dès la date de l’approbation ministérielle et doivent être complétés au plus tard le</w:t>
      </w:r>
      <w:r>
        <w:rPr>
          <w:b/>
          <w:bCs/>
          <w:sz w:val="22"/>
          <w:szCs w:val="22"/>
          <w:lang w:val="fr-CA"/>
        </w:rPr>
        <w:t xml:space="preserve"> 31 mars 2024</w:t>
      </w:r>
      <w:r>
        <w:rPr>
          <w:sz w:val="22"/>
          <w:szCs w:val="22"/>
          <w:lang w:val="fr-CA"/>
        </w:rPr>
        <w:t>.</w:t>
      </w:r>
    </w:p>
    <w:p w14:paraId="48BFC72C" w14:textId="77777777" w:rsidR="00AA78EB" w:rsidRPr="00427042" w:rsidRDefault="00AA78EB" w:rsidP="007E5F40">
      <w:pPr>
        <w:numPr>
          <w:ilvl w:val="0"/>
          <w:numId w:val="3"/>
        </w:numPr>
        <w:spacing w:before="0" w:after="0" w:line="240" w:lineRule="auto"/>
        <w:ind w:left="720"/>
        <w:rPr>
          <w:sz w:val="22"/>
          <w:szCs w:val="22"/>
          <w:lang w:val="fr-CA"/>
        </w:rPr>
      </w:pPr>
      <w:r>
        <w:rPr>
          <w:sz w:val="22"/>
          <w:szCs w:val="22"/>
          <w:lang w:val="fr-CA"/>
        </w:rPr>
        <w:t>Les projets peuvent commencer à engager des dépenses dès qu’ils sont approuvés par le ministère; toutefois, aucun remboursement n’est fait tant qu’une entente de financement n’est pas signée.</w:t>
      </w:r>
    </w:p>
    <w:p w14:paraId="0048BEB3" w14:textId="77777777" w:rsidR="00B53A55" w:rsidRPr="00427042" w:rsidRDefault="00150D57" w:rsidP="007E5F40">
      <w:pPr>
        <w:numPr>
          <w:ilvl w:val="0"/>
          <w:numId w:val="3"/>
        </w:numPr>
        <w:spacing w:before="0" w:after="0" w:line="240" w:lineRule="auto"/>
        <w:ind w:left="720"/>
        <w:rPr>
          <w:sz w:val="22"/>
          <w:szCs w:val="22"/>
          <w:lang w:val="fr-CA"/>
        </w:rPr>
      </w:pPr>
      <w:r>
        <w:rPr>
          <w:sz w:val="22"/>
          <w:szCs w:val="22"/>
          <w:lang w:val="fr-CA"/>
        </w:rPr>
        <w:t>Le demandeur doit prouver qu’il a assez de fonds pour garantir l’exécution réussie du projet avant le remboursement.</w:t>
      </w:r>
    </w:p>
    <w:p w14:paraId="01C89918" w14:textId="0DB9FA70" w:rsidR="00B53A55" w:rsidRDefault="00B53A55" w:rsidP="00504293">
      <w:pPr>
        <w:pStyle w:val="Heading2"/>
        <w:numPr>
          <w:ilvl w:val="0"/>
          <w:numId w:val="31"/>
        </w:numPr>
      </w:pPr>
      <w:r>
        <w:rPr>
          <w:bCs/>
          <w:lang w:val="fr-CA"/>
        </w:rPr>
        <w:lastRenderedPageBreak/>
        <w:t>C</w:t>
      </w:r>
      <w:r w:rsidR="00916084">
        <w:rPr>
          <w:bCs/>
          <w:lang w:val="fr-CA"/>
        </w:rPr>
        <w:t>ritères de sélection fondés sur le mérite</w:t>
      </w:r>
    </w:p>
    <w:p w14:paraId="07A5ECD0" w14:textId="77777777" w:rsidR="00417904" w:rsidRPr="00427042" w:rsidRDefault="00B53A55" w:rsidP="00B53A55">
      <w:pPr>
        <w:ind w:left="23" w:hanging="23"/>
        <w:rPr>
          <w:sz w:val="22"/>
          <w:szCs w:val="22"/>
          <w:lang w:val="fr-CA"/>
        </w:rPr>
      </w:pPr>
      <w:r>
        <w:rPr>
          <w:sz w:val="22"/>
          <w:szCs w:val="22"/>
          <w:lang w:val="fr-CA"/>
        </w:rPr>
        <w:t xml:space="preserve">Les demandeurs doivent fournir les renseignements suivants à l’appui de cette évaluation (voir la </w:t>
      </w:r>
      <w:r>
        <w:rPr>
          <w:b/>
          <w:bCs/>
          <w:sz w:val="22"/>
          <w:szCs w:val="22"/>
          <w:lang w:val="fr-CA"/>
        </w:rPr>
        <w:t>section 10</w:t>
      </w:r>
      <w:r>
        <w:rPr>
          <w:sz w:val="22"/>
          <w:szCs w:val="22"/>
          <w:lang w:val="fr-CA"/>
        </w:rPr>
        <w:t>).</w:t>
      </w:r>
    </w:p>
    <w:p w14:paraId="037AA72B" w14:textId="77777777" w:rsidR="00B53A55" w:rsidRPr="00427042" w:rsidRDefault="00B53A55" w:rsidP="00B53A55">
      <w:pPr>
        <w:ind w:left="23" w:hanging="23"/>
        <w:rPr>
          <w:b/>
          <w:bCs/>
          <w:iCs/>
          <w:sz w:val="22"/>
          <w:szCs w:val="22"/>
          <w:lang w:val="fr-CA"/>
        </w:rPr>
      </w:pPr>
      <w:r>
        <w:rPr>
          <w:b/>
          <w:bCs/>
          <w:sz w:val="22"/>
          <w:szCs w:val="22"/>
          <w:lang w:val="fr-CA"/>
        </w:rPr>
        <w:t>Pertinence du projet</w:t>
      </w:r>
    </w:p>
    <w:p w14:paraId="136BD861" w14:textId="77777777" w:rsidR="00B53A55" w:rsidRPr="00427042" w:rsidRDefault="00B53A55" w:rsidP="00B53A55">
      <w:pPr>
        <w:ind w:left="23" w:hanging="23"/>
        <w:rPr>
          <w:sz w:val="22"/>
          <w:szCs w:val="22"/>
          <w:lang w:val="fr-CA"/>
        </w:rPr>
      </w:pPr>
      <w:r>
        <w:rPr>
          <w:sz w:val="22"/>
          <w:szCs w:val="22"/>
          <w:lang w:val="fr-CA"/>
        </w:rPr>
        <w:t xml:space="preserve">Mesure dans laquelle le projet proposé correspond aux objectifs de l’INS (voir la </w:t>
      </w:r>
      <w:r>
        <w:rPr>
          <w:b/>
          <w:bCs/>
          <w:sz w:val="22"/>
          <w:szCs w:val="22"/>
          <w:lang w:val="fr-CA"/>
        </w:rPr>
        <w:t>section 1</w:t>
      </w:r>
      <w:r>
        <w:rPr>
          <w:sz w:val="22"/>
          <w:szCs w:val="22"/>
          <w:lang w:val="fr-CA"/>
        </w:rPr>
        <w:t xml:space="preserve">). </w:t>
      </w:r>
    </w:p>
    <w:p w14:paraId="2B58C277" w14:textId="77777777" w:rsidR="00B53A55" w:rsidRPr="00427042" w:rsidRDefault="00B53A55" w:rsidP="00B53A55">
      <w:pPr>
        <w:ind w:left="23" w:hanging="23"/>
        <w:rPr>
          <w:b/>
          <w:bCs/>
          <w:iCs/>
          <w:sz w:val="22"/>
          <w:szCs w:val="22"/>
          <w:lang w:val="fr-CA"/>
        </w:rPr>
      </w:pPr>
      <w:r>
        <w:rPr>
          <w:b/>
          <w:bCs/>
          <w:sz w:val="22"/>
          <w:szCs w:val="22"/>
          <w:lang w:val="fr-CA"/>
        </w:rPr>
        <w:t xml:space="preserve">Expérience et capacité pertinentes du demandeur </w:t>
      </w:r>
    </w:p>
    <w:p w14:paraId="07291A6D" w14:textId="77777777" w:rsidR="00B53A55" w:rsidRPr="00427042" w:rsidRDefault="00B53A55" w:rsidP="00417904">
      <w:pPr>
        <w:spacing w:line="240" w:lineRule="auto"/>
        <w:ind w:left="29" w:hanging="29"/>
        <w:rPr>
          <w:sz w:val="22"/>
          <w:szCs w:val="22"/>
          <w:lang w:val="fr-CA"/>
        </w:rPr>
      </w:pPr>
      <w:r>
        <w:rPr>
          <w:sz w:val="22"/>
          <w:szCs w:val="22"/>
          <w:lang w:val="fr-CA"/>
        </w:rPr>
        <w:t xml:space="preserve">Mesure dans laquelle le demandeur peut, sur le plan des ressources, du personnel et de l’expertise, réaliser le projet proposé. Plus précisément, Transports Canada tiendra compte des éléments suivants concernant le demandeur : </w:t>
      </w:r>
    </w:p>
    <w:p w14:paraId="4EE7727E" w14:textId="77777777" w:rsidR="00B53A55" w:rsidRPr="00390931" w:rsidRDefault="00B53A55" w:rsidP="007E5F40">
      <w:pPr>
        <w:numPr>
          <w:ilvl w:val="0"/>
          <w:numId w:val="8"/>
        </w:numPr>
        <w:spacing w:before="0" w:after="0" w:line="240" w:lineRule="auto"/>
        <w:rPr>
          <w:sz w:val="22"/>
          <w:szCs w:val="22"/>
        </w:rPr>
      </w:pPr>
      <w:r>
        <w:rPr>
          <w:sz w:val="22"/>
          <w:szCs w:val="22"/>
          <w:lang w:val="fr-CA"/>
        </w:rPr>
        <w:t xml:space="preserve">expérience et expertise; </w:t>
      </w:r>
    </w:p>
    <w:p w14:paraId="20203862" w14:textId="77777777" w:rsidR="00B53A55" w:rsidRPr="00427042" w:rsidRDefault="00B53A55" w:rsidP="007E5F40">
      <w:pPr>
        <w:numPr>
          <w:ilvl w:val="0"/>
          <w:numId w:val="8"/>
        </w:numPr>
        <w:spacing w:before="0" w:after="0" w:line="240" w:lineRule="auto"/>
        <w:rPr>
          <w:sz w:val="22"/>
          <w:szCs w:val="22"/>
          <w:lang w:val="fr-CA"/>
        </w:rPr>
      </w:pPr>
      <w:r>
        <w:rPr>
          <w:sz w:val="22"/>
          <w:szCs w:val="22"/>
          <w:lang w:val="fr-CA"/>
        </w:rPr>
        <w:t xml:space="preserve">structures institutionnelle, organisationnelle et gestionnaire, contrôles financiers et autres formes de soutien requis pour mener à bien le projet proposé. </w:t>
      </w:r>
    </w:p>
    <w:p w14:paraId="0F1FD947" w14:textId="77777777" w:rsidR="00AB3DB8" w:rsidRPr="00427042" w:rsidRDefault="00AB3DB8">
      <w:pPr>
        <w:spacing w:before="0" w:after="160" w:line="259" w:lineRule="auto"/>
        <w:ind w:left="0" w:firstLine="0"/>
        <w:rPr>
          <w:b/>
          <w:bCs/>
          <w:iCs/>
          <w:sz w:val="22"/>
          <w:szCs w:val="22"/>
          <w:lang w:val="fr-CA"/>
        </w:rPr>
      </w:pPr>
      <w:r>
        <w:rPr>
          <w:b/>
          <w:bCs/>
          <w:sz w:val="22"/>
          <w:szCs w:val="22"/>
          <w:lang w:val="fr-CA"/>
        </w:rPr>
        <w:br w:type="page"/>
      </w:r>
    </w:p>
    <w:p w14:paraId="53DF2BD1" w14:textId="77777777" w:rsidR="00B53A55" w:rsidRPr="00427042" w:rsidRDefault="00B53A55" w:rsidP="00B53A55">
      <w:pPr>
        <w:ind w:left="23" w:hanging="23"/>
        <w:rPr>
          <w:b/>
          <w:bCs/>
          <w:iCs/>
          <w:sz w:val="22"/>
          <w:szCs w:val="22"/>
          <w:lang w:val="fr-CA"/>
        </w:rPr>
      </w:pPr>
      <w:r>
        <w:rPr>
          <w:b/>
          <w:bCs/>
          <w:sz w:val="22"/>
          <w:szCs w:val="22"/>
          <w:lang w:val="fr-CA"/>
        </w:rPr>
        <w:lastRenderedPageBreak/>
        <w:t xml:space="preserve">Qualité de la proposition </w:t>
      </w:r>
    </w:p>
    <w:p w14:paraId="33A0E584" w14:textId="77777777" w:rsidR="00B53A55" w:rsidRPr="00E746CC" w:rsidRDefault="00B53A55" w:rsidP="00417904">
      <w:pPr>
        <w:spacing w:line="240" w:lineRule="auto"/>
        <w:ind w:left="23" w:hanging="23"/>
        <w:rPr>
          <w:sz w:val="22"/>
          <w:szCs w:val="22"/>
        </w:rPr>
      </w:pPr>
      <w:r>
        <w:rPr>
          <w:sz w:val="22"/>
          <w:szCs w:val="22"/>
          <w:lang w:val="fr-CA"/>
        </w:rPr>
        <w:t xml:space="preserve">Mesure dans laquelle les activités prévues, le calendrier, le budget, les résultats visés, les rôles et les responsabilités sont clairs, réalistes et conformes aux objectifs du projet proposé. Les projets proposés seront évalués selon les critères suivants : </w:t>
      </w:r>
    </w:p>
    <w:p w14:paraId="3E91C4B5" w14:textId="77777777" w:rsidR="00B53A55" w:rsidRPr="00427042" w:rsidRDefault="00B53A55" w:rsidP="007E5F40">
      <w:pPr>
        <w:numPr>
          <w:ilvl w:val="0"/>
          <w:numId w:val="15"/>
        </w:numPr>
        <w:spacing w:before="0" w:after="0" w:line="240" w:lineRule="auto"/>
        <w:rPr>
          <w:sz w:val="22"/>
          <w:szCs w:val="22"/>
          <w:lang w:val="fr-CA"/>
        </w:rPr>
      </w:pPr>
      <w:r>
        <w:rPr>
          <w:sz w:val="22"/>
          <w:szCs w:val="22"/>
          <w:lang w:val="fr-CA"/>
        </w:rPr>
        <w:t>des buts, des objectifs et des résultats clairement énoncés;</w:t>
      </w:r>
    </w:p>
    <w:p w14:paraId="79341FBA" w14:textId="77777777" w:rsidR="00B53A55" w:rsidRPr="00427042" w:rsidRDefault="00B53A55" w:rsidP="007E5F40">
      <w:pPr>
        <w:numPr>
          <w:ilvl w:val="0"/>
          <w:numId w:val="15"/>
        </w:numPr>
        <w:spacing w:before="0" w:after="0" w:line="240" w:lineRule="auto"/>
        <w:rPr>
          <w:sz w:val="22"/>
          <w:szCs w:val="22"/>
          <w:lang w:val="fr-CA"/>
        </w:rPr>
      </w:pPr>
      <w:r>
        <w:rPr>
          <w:sz w:val="22"/>
          <w:szCs w:val="22"/>
          <w:lang w:val="fr-CA"/>
        </w:rPr>
        <w:t>un plan de projet réalisable, des livrables concrets, un budget et un calendrier;</w:t>
      </w:r>
    </w:p>
    <w:p w14:paraId="5FB229D0" w14:textId="77777777" w:rsidR="00C64E55" w:rsidRPr="00427042" w:rsidRDefault="00C64E55" w:rsidP="007E5F40">
      <w:pPr>
        <w:numPr>
          <w:ilvl w:val="0"/>
          <w:numId w:val="15"/>
        </w:numPr>
        <w:spacing w:before="0" w:after="0" w:line="240" w:lineRule="auto"/>
        <w:rPr>
          <w:sz w:val="22"/>
          <w:szCs w:val="22"/>
          <w:lang w:val="fr-CA"/>
        </w:rPr>
      </w:pPr>
      <w:r>
        <w:rPr>
          <w:sz w:val="22"/>
          <w:szCs w:val="22"/>
          <w:lang w:val="fr-CA"/>
        </w:rPr>
        <w:t>une analyse détaillée des risques et une stratégie d’atténuation;</w:t>
      </w:r>
    </w:p>
    <w:p w14:paraId="50FB0B85" w14:textId="77777777" w:rsidR="00B53A55" w:rsidRPr="00427042" w:rsidRDefault="00B53A55" w:rsidP="007E5F40">
      <w:pPr>
        <w:numPr>
          <w:ilvl w:val="0"/>
          <w:numId w:val="15"/>
        </w:numPr>
        <w:spacing w:before="0" w:after="0" w:line="240" w:lineRule="auto"/>
        <w:rPr>
          <w:sz w:val="22"/>
          <w:szCs w:val="22"/>
          <w:lang w:val="fr-CA"/>
        </w:rPr>
      </w:pPr>
      <w:r>
        <w:rPr>
          <w:sz w:val="22"/>
          <w:szCs w:val="22"/>
          <w:lang w:val="fr-CA"/>
        </w:rPr>
        <w:t>une équipe d’exécution du projet expérimentée et qualifiée, avec des rôles et responsabilités clairement définis.</w:t>
      </w:r>
    </w:p>
    <w:p w14:paraId="49F5C9ED" w14:textId="77777777" w:rsidR="00B53A55" w:rsidRPr="00427042" w:rsidRDefault="00B53A55" w:rsidP="00417904">
      <w:pPr>
        <w:spacing w:line="240" w:lineRule="auto"/>
        <w:ind w:left="23" w:hanging="23"/>
        <w:rPr>
          <w:b/>
          <w:bCs/>
          <w:iCs/>
          <w:sz w:val="22"/>
          <w:szCs w:val="22"/>
          <w:lang w:val="fr-CA"/>
        </w:rPr>
      </w:pPr>
      <w:r>
        <w:rPr>
          <w:b/>
          <w:bCs/>
          <w:sz w:val="22"/>
          <w:szCs w:val="22"/>
          <w:lang w:val="fr-CA"/>
        </w:rPr>
        <w:t xml:space="preserve">Optimisation des ressources </w:t>
      </w:r>
    </w:p>
    <w:p w14:paraId="7550766A" w14:textId="77777777" w:rsidR="00B53A55" w:rsidRPr="00427042" w:rsidRDefault="00B53A55" w:rsidP="00417904">
      <w:pPr>
        <w:spacing w:line="240" w:lineRule="auto"/>
        <w:ind w:left="23" w:hanging="23"/>
        <w:rPr>
          <w:sz w:val="22"/>
          <w:szCs w:val="22"/>
          <w:lang w:val="fr-CA"/>
        </w:rPr>
      </w:pPr>
      <w:r>
        <w:rPr>
          <w:sz w:val="22"/>
          <w:szCs w:val="22"/>
          <w:lang w:val="fr-CA"/>
        </w:rPr>
        <w:t>Mesure dans laquelle la proposition prévoit utiliser les ressources de façon efficace et produire des résultats de façon rentable.</w:t>
      </w:r>
    </w:p>
    <w:p w14:paraId="2ADBC13C" w14:textId="77777777" w:rsidR="00B41806" w:rsidRPr="00427042" w:rsidRDefault="00B41806" w:rsidP="00B41806">
      <w:pPr>
        <w:spacing w:line="240" w:lineRule="auto"/>
        <w:ind w:left="23" w:hanging="23"/>
        <w:rPr>
          <w:b/>
          <w:bCs/>
          <w:iCs/>
          <w:sz w:val="22"/>
          <w:szCs w:val="22"/>
          <w:lang w:val="fr-CA"/>
        </w:rPr>
      </w:pPr>
      <w:r>
        <w:rPr>
          <w:b/>
          <w:bCs/>
          <w:sz w:val="22"/>
          <w:szCs w:val="22"/>
          <w:lang w:val="fr-CA"/>
        </w:rPr>
        <w:t>Autres critères</w:t>
      </w:r>
    </w:p>
    <w:p w14:paraId="4B90F709" w14:textId="02F6B713" w:rsidR="00B41806" w:rsidRPr="00427042" w:rsidRDefault="00B41806" w:rsidP="00B41806">
      <w:pPr>
        <w:spacing w:line="240" w:lineRule="auto"/>
        <w:ind w:left="23" w:hanging="23"/>
        <w:rPr>
          <w:sz w:val="22"/>
          <w:szCs w:val="22"/>
          <w:lang w:val="fr-CA"/>
        </w:rPr>
      </w:pPr>
      <w:r>
        <w:rPr>
          <w:sz w:val="22"/>
          <w:szCs w:val="22"/>
          <w:lang w:val="fr-CA"/>
        </w:rPr>
        <w:t xml:space="preserve">En plus des critères de sélection </w:t>
      </w:r>
      <w:r w:rsidR="00584F65">
        <w:rPr>
          <w:sz w:val="22"/>
          <w:szCs w:val="22"/>
          <w:lang w:val="fr-CA"/>
        </w:rPr>
        <w:t>fondés sur le mérite</w:t>
      </w:r>
      <w:r>
        <w:rPr>
          <w:sz w:val="22"/>
          <w:szCs w:val="22"/>
          <w:lang w:val="fr-CA"/>
        </w:rPr>
        <w:t>, les projets seront également sélectionnés en fonction du degré auquel la proposition aborde un ou plusieurs des éléments ci-dessous :</w:t>
      </w:r>
    </w:p>
    <w:p w14:paraId="2CAB345B" w14:textId="3923ADE5" w:rsidR="00DC7210" w:rsidRPr="00427042" w:rsidRDefault="00446529" w:rsidP="00094D6B">
      <w:pPr>
        <w:pStyle w:val="ListParagraph"/>
        <w:numPr>
          <w:ilvl w:val="0"/>
          <w:numId w:val="34"/>
        </w:numPr>
        <w:spacing w:before="0" w:after="0" w:line="240" w:lineRule="auto"/>
        <w:rPr>
          <w:rFonts w:asciiTheme="minorHAnsi" w:eastAsia="Calibri" w:hAnsiTheme="minorHAnsi" w:cstheme="minorBidi"/>
          <w:sz w:val="22"/>
          <w:szCs w:val="22"/>
          <w:lang w:val="fr-CA"/>
        </w:rPr>
      </w:pPr>
      <w:r>
        <w:rPr>
          <w:rFonts w:asciiTheme="minorHAnsi" w:eastAsia="Calibri" w:hAnsiTheme="minorHAnsi" w:cstheme="minorBidi"/>
          <w:sz w:val="22"/>
          <w:szCs w:val="22"/>
          <w:lang w:val="fr-CA"/>
        </w:rPr>
        <w:t>Les avantages publics du partage des résultats de la recherche avec l’industrie, les groupes autochtones et les autres parties prenantes du secteur maritime.</w:t>
      </w:r>
    </w:p>
    <w:p w14:paraId="3F046146" w14:textId="77777777" w:rsidR="00B53A55" w:rsidRPr="006654F5" w:rsidRDefault="00B53A55" w:rsidP="00B53A55">
      <w:pPr>
        <w:pStyle w:val="Heading2"/>
        <w:numPr>
          <w:ilvl w:val="0"/>
          <w:numId w:val="4"/>
        </w:numPr>
      </w:pPr>
      <w:bookmarkStart w:id="15" w:name="_Selection_criteria"/>
      <w:bookmarkStart w:id="16" w:name="_Notification"/>
      <w:bookmarkEnd w:id="15"/>
      <w:bookmarkEnd w:id="16"/>
      <w:r>
        <w:rPr>
          <w:bCs/>
          <w:lang w:val="fr-CA"/>
        </w:rPr>
        <w:lastRenderedPageBreak/>
        <w:t>Avis</w:t>
      </w:r>
    </w:p>
    <w:p w14:paraId="26148895" w14:textId="77777777" w:rsidR="00B53A55" w:rsidRPr="00427042" w:rsidRDefault="00B53A55" w:rsidP="00B53A55">
      <w:pPr>
        <w:spacing w:before="0" w:after="0" w:line="276" w:lineRule="auto"/>
        <w:ind w:left="0" w:firstLine="0"/>
        <w:rPr>
          <w:sz w:val="22"/>
          <w:szCs w:val="22"/>
          <w:lang w:val="fr-CA"/>
        </w:rPr>
      </w:pPr>
      <w:r>
        <w:rPr>
          <w:sz w:val="22"/>
          <w:szCs w:val="22"/>
          <w:lang w:val="fr-CA"/>
        </w:rPr>
        <w:t xml:space="preserve">Après l’évaluation de la proposition de projet, le demandeur sera informé si son projet a été retenu ou non aux fins de financement. Transports Canada se réserve le droit d’accepter ou de rejeter toute proposition de projet. </w:t>
      </w:r>
    </w:p>
    <w:p w14:paraId="7CC880E9" w14:textId="77777777" w:rsidR="00B53A55" w:rsidRDefault="00B53A55" w:rsidP="00B53A55">
      <w:pPr>
        <w:pStyle w:val="Heading2"/>
        <w:numPr>
          <w:ilvl w:val="0"/>
          <w:numId w:val="4"/>
        </w:numPr>
        <w:tabs>
          <w:tab w:val="left" w:pos="508"/>
        </w:tabs>
      </w:pPr>
      <w:bookmarkStart w:id="17" w:name="_Service_standards"/>
      <w:bookmarkEnd w:id="17"/>
      <w:r>
        <w:rPr>
          <w:bCs/>
          <w:lang w:val="fr-CA"/>
        </w:rPr>
        <w:t>Normes de service</w:t>
      </w:r>
    </w:p>
    <w:p w14:paraId="3306611B" w14:textId="77777777" w:rsidR="00B53A55" w:rsidRPr="00427042" w:rsidRDefault="00B53A55" w:rsidP="00417904">
      <w:pPr>
        <w:spacing w:before="0" w:after="240" w:line="240" w:lineRule="auto"/>
        <w:ind w:left="0" w:firstLine="0"/>
        <w:rPr>
          <w:sz w:val="22"/>
          <w:szCs w:val="22"/>
          <w:lang w:val="fr-CA"/>
        </w:rPr>
      </w:pPr>
      <w:r>
        <w:rPr>
          <w:sz w:val="22"/>
          <w:szCs w:val="22"/>
          <w:lang w:val="fr-CA"/>
        </w:rPr>
        <w:t>Afin d’assurer l’amélioration constante du service et de mener un processus transparent, nous avons établi les normes de service suivantes :</w:t>
      </w:r>
    </w:p>
    <w:p w14:paraId="16C82965" w14:textId="77777777" w:rsidR="00B53A55" w:rsidRPr="00427042" w:rsidRDefault="00B53A55" w:rsidP="007E5F40">
      <w:pPr>
        <w:numPr>
          <w:ilvl w:val="0"/>
          <w:numId w:val="5"/>
        </w:numPr>
        <w:spacing w:before="0" w:after="0" w:line="240" w:lineRule="auto"/>
        <w:ind w:left="720"/>
        <w:rPr>
          <w:sz w:val="22"/>
          <w:szCs w:val="22"/>
          <w:lang w:val="fr-CA"/>
        </w:rPr>
      </w:pPr>
      <w:r>
        <w:rPr>
          <w:sz w:val="22"/>
          <w:szCs w:val="22"/>
          <w:lang w:val="fr-CA"/>
        </w:rPr>
        <w:t>Nous avons pour objectif de fournir aux demandeurs un accusé de réception écrit de leur demande ou de leur proposition de projet, et ce, dans les 10 jours ouvrables suivant la date d’échéance de la demande.</w:t>
      </w:r>
    </w:p>
    <w:p w14:paraId="17E8C057" w14:textId="77777777" w:rsidR="00B53A55" w:rsidRPr="00427042" w:rsidRDefault="00B53A55" w:rsidP="007E5F40">
      <w:pPr>
        <w:numPr>
          <w:ilvl w:val="0"/>
          <w:numId w:val="5"/>
        </w:numPr>
        <w:spacing w:before="0" w:after="0" w:line="240" w:lineRule="auto"/>
        <w:ind w:left="720"/>
        <w:rPr>
          <w:sz w:val="22"/>
          <w:szCs w:val="22"/>
          <w:lang w:val="fr-CA"/>
        </w:rPr>
      </w:pPr>
      <w:r>
        <w:rPr>
          <w:sz w:val="22"/>
          <w:szCs w:val="22"/>
          <w:lang w:val="fr-CA"/>
        </w:rPr>
        <w:t>Nous avons pour objectif de faire un paiement dans les 20 jours ouvrables suivant l’envoi au bénéficiaire de l’avis annonçant que les exigences décrites dans l’entente de financement ont été respectées.</w:t>
      </w:r>
    </w:p>
    <w:p w14:paraId="5727895E" w14:textId="77777777" w:rsidR="00B53A55" w:rsidRPr="00427042" w:rsidRDefault="00B53A55" w:rsidP="00C23F89">
      <w:pPr>
        <w:spacing w:line="240" w:lineRule="auto"/>
        <w:ind w:left="0" w:firstLine="0"/>
        <w:rPr>
          <w:lang w:val="fr-CA"/>
        </w:rPr>
      </w:pPr>
      <w:r>
        <w:rPr>
          <w:b/>
          <w:bCs/>
          <w:lang w:val="fr-CA"/>
        </w:rPr>
        <w:t>Remarque :</w:t>
      </w:r>
      <w:r>
        <w:rPr>
          <w:lang w:val="fr-CA"/>
        </w:rPr>
        <w:t xml:space="preserve"> si le programme ne peut se conformer aux normes mentionnées plus haut, nous en aviserons les bénéficiaires en temps opportun. </w:t>
      </w:r>
    </w:p>
    <w:p w14:paraId="22CDCB18" w14:textId="77777777" w:rsidR="00B53A55" w:rsidRDefault="00B53A55" w:rsidP="00417904">
      <w:pPr>
        <w:pStyle w:val="Heading2"/>
        <w:numPr>
          <w:ilvl w:val="0"/>
          <w:numId w:val="4"/>
        </w:numPr>
        <w:tabs>
          <w:tab w:val="left" w:pos="508"/>
        </w:tabs>
      </w:pPr>
      <w:bookmarkStart w:id="18" w:name="_Funding_agreements"/>
      <w:bookmarkEnd w:id="18"/>
      <w:r>
        <w:rPr>
          <w:bCs/>
          <w:lang w:val="fr-CA"/>
        </w:rPr>
        <w:t>Ententes de financement</w:t>
      </w:r>
    </w:p>
    <w:p w14:paraId="4BF5196E" w14:textId="77777777" w:rsidR="00B53A55" w:rsidRPr="00427042" w:rsidRDefault="00B53A55" w:rsidP="00417904">
      <w:pPr>
        <w:spacing w:line="240" w:lineRule="auto"/>
        <w:ind w:left="0" w:firstLine="0"/>
        <w:rPr>
          <w:sz w:val="22"/>
          <w:szCs w:val="22"/>
          <w:lang w:val="fr-CA"/>
        </w:rPr>
      </w:pPr>
      <w:r>
        <w:rPr>
          <w:sz w:val="22"/>
          <w:szCs w:val="22"/>
          <w:lang w:val="fr-CA"/>
        </w:rPr>
        <w:t>Une entente de financement signée par le bénéficiaire et Transports Canada est requise pour que l’organisme reçoive du financement dans le cadre de l’INS. Les sections suivantes présentent certains aspects clés de ce document juridique.</w:t>
      </w:r>
    </w:p>
    <w:p w14:paraId="14DD7644" w14:textId="77777777" w:rsidR="00B53A55" w:rsidRPr="00427042" w:rsidRDefault="00504293" w:rsidP="00417904">
      <w:pPr>
        <w:spacing w:line="240" w:lineRule="auto"/>
        <w:ind w:left="0" w:firstLine="0"/>
        <w:rPr>
          <w:b/>
          <w:sz w:val="22"/>
          <w:szCs w:val="22"/>
          <w:lang w:val="fr-CA"/>
        </w:rPr>
      </w:pPr>
      <w:r>
        <w:rPr>
          <w:b/>
          <w:bCs/>
          <w:sz w:val="22"/>
          <w:szCs w:val="22"/>
          <w:lang w:val="fr-CA"/>
        </w:rPr>
        <w:lastRenderedPageBreak/>
        <w:t>9.1 Ententes de financement axées sur les risques</w:t>
      </w:r>
    </w:p>
    <w:p w14:paraId="0F0ED85C" w14:textId="77777777" w:rsidR="00B53A55" w:rsidRPr="00E746CC" w:rsidRDefault="0043513C" w:rsidP="00417904">
      <w:pPr>
        <w:spacing w:line="240" w:lineRule="auto"/>
        <w:ind w:left="0" w:firstLine="0"/>
        <w:rPr>
          <w:sz w:val="22"/>
          <w:szCs w:val="22"/>
        </w:rPr>
      </w:pPr>
      <w:r>
        <w:rPr>
          <w:sz w:val="22"/>
          <w:szCs w:val="22"/>
          <w:lang w:val="fr-CA"/>
        </w:rPr>
        <w:t>Avant la signature d’une entente de financement, nous mènerons une évaluation des risques de chaque projet. On veille ainsi à ce que les exigences de l’entente de financement correspondent aux niveaux de risque du projet et à la capacité du bénéficiaire à atteindre les résultats escomptés. L’évaluation du risque du projet déterminera :</w:t>
      </w:r>
    </w:p>
    <w:p w14:paraId="478F0A1A" w14:textId="77777777" w:rsidR="00B53A55" w:rsidRPr="00427042" w:rsidRDefault="00B53A55" w:rsidP="007E5F40">
      <w:pPr>
        <w:numPr>
          <w:ilvl w:val="0"/>
          <w:numId w:val="10"/>
        </w:numPr>
        <w:spacing w:before="0" w:after="0" w:line="240" w:lineRule="auto"/>
        <w:rPr>
          <w:sz w:val="22"/>
          <w:szCs w:val="22"/>
          <w:lang w:val="fr-CA"/>
        </w:rPr>
      </w:pPr>
      <w:r>
        <w:rPr>
          <w:sz w:val="22"/>
          <w:szCs w:val="22"/>
          <w:lang w:val="fr-CA"/>
        </w:rPr>
        <w:t>la fréquence à laquelle le bénéficiaire doit rendre compte des progrès du projet;</w:t>
      </w:r>
    </w:p>
    <w:p w14:paraId="558368A0" w14:textId="77777777" w:rsidR="00B53A55" w:rsidRPr="00427042" w:rsidRDefault="00B53A55" w:rsidP="007E5F40">
      <w:pPr>
        <w:numPr>
          <w:ilvl w:val="0"/>
          <w:numId w:val="10"/>
        </w:numPr>
        <w:spacing w:before="0" w:after="0" w:line="240" w:lineRule="auto"/>
        <w:rPr>
          <w:sz w:val="22"/>
          <w:szCs w:val="22"/>
          <w:lang w:val="fr-CA"/>
        </w:rPr>
      </w:pPr>
      <w:r>
        <w:rPr>
          <w:sz w:val="22"/>
          <w:szCs w:val="22"/>
          <w:lang w:val="fr-CA"/>
        </w:rPr>
        <w:t>les documents financiers que le bénéficiaire doit remettre avec toute demande de remboursement;</w:t>
      </w:r>
    </w:p>
    <w:p w14:paraId="2D51B285" w14:textId="77777777" w:rsidR="00B53A55" w:rsidRPr="00427042" w:rsidRDefault="00B53A55" w:rsidP="007E5F40">
      <w:pPr>
        <w:numPr>
          <w:ilvl w:val="0"/>
          <w:numId w:val="10"/>
        </w:numPr>
        <w:spacing w:before="0" w:after="0" w:line="240" w:lineRule="auto"/>
        <w:rPr>
          <w:sz w:val="22"/>
          <w:szCs w:val="22"/>
          <w:lang w:val="fr-CA"/>
        </w:rPr>
      </w:pPr>
      <w:r>
        <w:rPr>
          <w:sz w:val="22"/>
          <w:szCs w:val="22"/>
          <w:lang w:val="fr-CA"/>
        </w:rPr>
        <w:t>le nombre de fois que nous visiterons le site d’un bénéficiaire ou communiquerons avec ce dernier;</w:t>
      </w:r>
    </w:p>
    <w:p w14:paraId="323A5D7A" w14:textId="77777777" w:rsidR="00B53A55" w:rsidRPr="00427042" w:rsidRDefault="00B53A55" w:rsidP="007E5F40">
      <w:pPr>
        <w:numPr>
          <w:ilvl w:val="0"/>
          <w:numId w:val="10"/>
        </w:numPr>
        <w:spacing w:before="0" w:after="0" w:line="240" w:lineRule="auto"/>
        <w:rPr>
          <w:sz w:val="22"/>
          <w:szCs w:val="22"/>
          <w:lang w:val="fr-CA"/>
        </w:rPr>
      </w:pPr>
      <w:r>
        <w:rPr>
          <w:sz w:val="22"/>
          <w:szCs w:val="22"/>
          <w:lang w:val="fr-CA"/>
        </w:rPr>
        <w:t xml:space="preserve">les exigences en matière de vérification (toutes les ententes de financement précisent notre droit à la vérification). </w:t>
      </w:r>
    </w:p>
    <w:p w14:paraId="0420DDE7" w14:textId="77777777" w:rsidR="00B53A55" w:rsidRPr="00427042" w:rsidRDefault="00B53A55" w:rsidP="00417904">
      <w:pPr>
        <w:spacing w:line="240" w:lineRule="auto"/>
        <w:ind w:left="0" w:firstLine="0"/>
        <w:rPr>
          <w:sz w:val="22"/>
          <w:szCs w:val="22"/>
          <w:lang w:val="fr-CA"/>
        </w:rPr>
      </w:pPr>
      <w:r>
        <w:rPr>
          <w:sz w:val="22"/>
          <w:szCs w:val="22"/>
          <w:lang w:val="fr-CA"/>
        </w:rPr>
        <w:t>L’évaluation des risques se fondera notamment sur l’information figurant dans la proposition de projet du demandeur.</w:t>
      </w:r>
    </w:p>
    <w:p w14:paraId="7BED8C74" w14:textId="77777777" w:rsidR="00B53A55" w:rsidRPr="00427042" w:rsidRDefault="00504293" w:rsidP="00417904">
      <w:pPr>
        <w:spacing w:line="240" w:lineRule="auto"/>
        <w:ind w:left="0" w:firstLine="0"/>
        <w:rPr>
          <w:b/>
          <w:sz w:val="22"/>
          <w:szCs w:val="22"/>
          <w:lang w:val="fr-CA"/>
        </w:rPr>
      </w:pPr>
      <w:r>
        <w:rPr>
          <w:b/>
          <w:bCs/>
          <w:sz w:val="22"/>
          <w:szCs w:val="22"/>
          <w:lang w:val="fr-CA"/>
        </w:rPr>
        <w:t>9.2 Portée du projet et entente</w:t>
      </w:r>
    </w:p>
    <w:p w14:paraId="63323E6B" w14:textId="77777777" w:rsidR="00B53A55" w:rsidRPr="00427042" w:rsidRDefault="00B53A55" w:rsidP="00417904">
      <w:pPr>
        <w:spacing w:line="240" w:lineRule="auto"/>
        <w:ind w:left="0" w:firstLine="0"/>
        <w:rPr>
          <w:sz w:val="22"/>
          <w:szCs w:val="22"/>
          <w:lang w:val="fr-CA"/>
        </w:rPr>
      </w:pPr>
      <w:r>
        <w:rPr>
          <w:sz w:val="22"/>
          <w:szCs w:val="22"/>
          <w:lang w:val="fr-CA"/>
        </w:rPr>
        <w:t xml:space="preserve">La proposition de projet du demandeur constitue le fondement de la portée du projet, des documents juridiques obligatoires, des clauses, des modalités, des critères de mesure du rendement et de la structure des paiements dans l’entente de financement. Une fois que l’entente de financement est signée, aucun changement ne peut être apporté au projet (notamment au budget, à la structure, aux échéances, etc.) sans un accord écrit entre le bénéficiaire et Transports Canada. </w:t>
      </w:r>
    </w:p>
    <w:p w14:paraId="19916784" w14:textId="77777777" w:rsidR="00B53A55" w:rsidRPr="00427042" w:rsidRDefault="00504293" w:rsidP="00417904">
      <w:pPr>
        <w:spacing w:line="240" w:lineRule="auto"/>
        <w:ind w:left="0" w:firstLine="0"/>
        <w:rPr>
          <w:b/>
          <w:sz w:val="22"/>
          <w:szCs w:val="22"/>
          <w:lang w:val="fr-CA"/>
        </w:rPr>
      </w:pPr>
      <w:r>
        <w:rPr>
          <w:b/>
          <w:bCs/>
          <w:sz w:val="22"/>
          <w:szCs w:val="22"/>
          <w:lang w:val="fr-CA"/>
        </w:rPr>
        <w:t>9.3 Exigences relatives à la production de rapports</w:t>
      </w:r>
    </w:p>
    <w:p w14:paraId="7A3CE1DB" w14:textId="77777777" w:rsidR="00B53A55" w:rsidRPr="00427042" w:rsidRDefault="00B53A55" w:rsidP="00417904">
      <w:pPr>
        <w:spacing w:line="240" w:lineRule="auto"/>
        <w:ind w:left="0" w:firstLine="0"/>
        <w:rPr>
          <w:sz w:val="22"/>
          <w:szCs w:val="22"/>
          <w:lang w:val="fr-CA"/>
        </w:rPr>
      </w:pPr>
      <w:r>
        <w:rPr>
          <w:sz w:val="22"/>
          <w:szCs w:val="22"/>
          <w:lang w:val="fr-CA"/>
        </w:rPr>
        <w:lastRenderedPageBreak/>
        <w:t>Les exigences en matière de rapports seront établies dans l’entente de financement, et peuvent inclure, entre autres, l’envoi de demandes de remboursement, d’une liste de factures, de rapports d’étape, de rapports annuels et d’un rapport final.</w:t>
      </w:r>
    </w:p>
    <w:p w14:paraId="0CB18386" w14:textId="77777777" w:rsidR="00B53A55" w:rsidRPr="00427042" w:rsidRDefault="00504293" w:rsidP="00417904">
      <w:pPr>
        <w:spacing w:line="240" w:lineRule="auto"/>
        <w:ind w:left="0" w:firstLine="0"/>
        <w:rPr>
          <w:b/>
          <w:sz w:val="22"/>
          <w:szCs w:val="22"/>
          <w:lang w:val="fr-CA"/>
        </w:rPr>
      </w:pPr>
      <w:r>
        <w:rPr>
          <w:b/>
          <w:bCs/>
          <w:sz w:val="22"/>
          <w:szCs w:val="22"/>
          <w:lang w:val="fr-CA"/>
        </w:rPr>
        <w:t>9.4 Rapports d’étape</w:t>
      </w:r>
    </w:p>
    <w:p w14:paraId="110F73FD" w14:textId="1DC1D2B1" w:rsidR="00F22BA4" w:rsidRPr="00427042" w:rsidRDefault="00B53A55" w:rsidP="00417904">
      <w:pPr>
        <w:spacing w:line="240" w:lineRule="auto"/>
        <w:ind w:left="0" w:firstLine="0"/>
        <w:rPr>
          <w:sz w:val="22"/>
          <w:szCs w:val="22"/>
          <w:lang w:val="fr-CA"/>
        </w:rPr>
      </w:pPr>
      <w:r>
        <w:rPr>
          <w:sz w:val="22"/>
          <w:szCs w:val="22"/>
          <w:lang w:val="fr-CA"/>
        </w:rPr>
        <w:t xml:space="preserve">Les bénéficiaires doivent soumettre des rapports d’étape écrits sur une base trimestrielle, ou à une autre fréquence, comme indiqué dans l’entente de financement. Les rapports d’étape détermineront les progrès accomplis au cours de la période visée et accompagneront les demandes de remboursement. Des réunions périodiques pourront être organisées avec Transports Canada pendant toute la durée de l’entente, mais elles seront confirmées lors des étapes de négociation de l’entente. </w:t>
      </w:r>
    </w:p>
    <w:p w14:paraId="18E16F41" w14:textId="77777777" w:rsidR="00B53A55" w:rsidRPr="00427042" w:rsidRDefault="00504293" w:rsidP="00417904">
      <w:pPr>
        <w:spacing w:line="240" w:lineRule="auto"/>
        <w:ind w:left="0" w:firstLine="0"/>
        <w:rPr>
          <w:b/>
          <w:sz w:val="22"/>
          <w:szCs w:val="22"/>
          <w:lang w:val="fr-CA"/>
        </w:rPr>
      </w:pPr>
      <w:r>
        <w:rPr>
          <w:b/>
          <w:bCs/>
          <w:sz w:val="22"/>
          <w:szCs w:val="22"/>
          <w:lang w:val="fr-CA"/>
        </w:rPr>
        <w:t>9.5 Rapports annuels</w:t>
      </w:r>
    </w:p>
    <w:p w14:paraId="1B75C8E3" w14:textId="77777777" w:rsidR="00B53A55" w:rsidRPr="00427042" w:rsidRDefault="008E2765" w:rsidP="00417904">
      <w:pPr>
        <w:spacing w:line="240" w:lineRule="auto"/>
        <w:ind w:left="0" w:firstLine="0"/>
        <w:rPr>
          <w:sz w:val="22"/>
          <w:szCs w:val="22"/>
          <w:lang w:val="fr-CA"/>
        </w:rPr>
      </w:pPr>
      <w:r>
        <w:rPr>
          <w:sz w:val="22"/>
          <w:szCs w:val="22"/>
          <w:lang w:val="fr-CA"/>
        </w:rPr>
        <w:t xml:space="preserve">Dans le cas des projets pluriannuels, le bénéficiaire devra produire des rapports annuels. Ces rapports incluront, mais sans s’y limiter, ce qui suit : </w:t>
      </w:r>
    </w:p>
    <w:p w14:paraId="10A86FC1" w14:textId="77777777" w:rsidR="00B53A55" w:rsidRPr="00427042" w:rsidRDefault="00B53A55" w:rsidP="007E5F40">
      <w:pPr>
        <w:numPr>
          <w:ilvl w:val="0"/>
          <w:numId w:val="9"/>
        </w:numPr>
        <w:spacing w:before="0" w:after="0" w:line="240" w:lineRule="auto"/>
        <w:rPr>
          <w:sz w:val="22"/>
          <w:szCs w:val="22"/>
          <w:lang w:val="fr-CA"/>
        </w:rPr>
      </w:pPr>
      <w:r>
        <w:rPr>
          <w:sz w:val="22"/>
          <w:szCs w:val="22"/>
          <w:lang w:val="fr-CA"/>
        </w:rPr>
        <w:t>une description détaillée de l’avancement du projet et des réalisations majeures au cours de l’année, de même qu’une mise à jour sur la façon dont le projet progresse et dans quelle mesure il est conforme aux objectifs déterminés et aux résultats finaux;</w:t>
      </w:r>
    </w:p>
    <w:p w14:paraId="28D3F6F0" w14:textId="77777777" w:rsidR="00B53A55" w:rsidRPr="00427042" w:rsidRDefault="00B53A55" w:rsidP="007E5F40">
      <w:pPr>
        <w:numPr>
          <w:ilvl w:val="0"/>
          <w:numId w:val="9"/>
        </w:numPr>
        <w:spacing w:before="0" w:after="0" w:line="240" w:lineRule="auto"/>
        <w:rPr>
          <w:sz w:val="22"/>
          <w:szCs w:val="22"/>
          <w:lang w:val="fr-CA"/>
        </w:rPr>
      </w:pPr>
      <w:r>
        <w:rPr>
          <w:sz w:val="22"/>
          <w:szCs w:val="22"/>
          <w:lang w:val="fr-CA"/>
        </w:rPr>
        <w:t>une mise à jour des données sur les indicateurs de rendement figurant dans l’entente de financement, en comparaison avec le début du projet;</w:t>
      </w:r>
    </w:p>
    <w:p w14:paraId="66B51506" w14:textId="77777777" w:rsidR="00B53A55" w:rsidRPr="00427042" w:rsidRDefault="00B53A55" w:rsidP="007E5F40">
      <w:pPr>
        <w:numPr>
          <w:ilvl w:val="1"/>
          <w:numId w:val="9"/>
        </w:numPr>
        <w:spacing w:before="0" w:after="0" w:line="240" w:lineRule="auto"/>
        <w:rPr>
          <w:sz w:val="22"/>
          <w:szCs w:val="22"/>
          <w:lang w:val="fr-CA"/>
        </w:rPr>
      </w:pPr>
      <w:r>
        <w:rPr>
          <w:sz w:val="22"/>
          <w:szCs w:val="22"/>
          <w:lang w:val="fr-CA"/>
        </w:rPr>
        <w:t xml:space="preserve">le bénéficiaire s’assurera que les processus de collecte de données appropriés sont en place pour permettre la saisie et le signalement des indicateurs de rendement utilisés </w:t>
      </w:r>
      <w:r>
        <w:rPr>
          <w:sz w:val="22"/>
          <w:szCs w:val="22"/>
          <w:lang w:val="fr-CA"/>
        </w:rPr>
        <w:lastRenderedPageBreak/>
        <w:t xml:space="preserve">pour mesurer l’atteinte des résultats du projet; </w:t>
      </w:r>
    </w:p>
    <w:p w14:paraId="4BF47E17" w14:textId="77777777" w:rsidR="00B53A55" w:rsidRPr="00427042" w:rsidRDefault="00B53A55" w:rsidP="007E5F40">
      <w:pPr>
        <w:numPr>
          <w:ilvl w:val="0"/>
          <w:numId w:val="9"/>
        </w:numPr>
        <w:spacing w:before="0" w:after="0" w:line="240" w:lineRule="auto"/>
        <w:rPr>
          <w:sz w:val="22"/>
          <w:szCs w:val="22"/>
          <w:lang w:val="fr-CA"/>
        </w:rPr>
      </w:pPr>
      <w:r>
        <w:rPr>
          <w:sz w:val="22"/>
          <w:szCs w:val="22"/>
          <w:lang w:val="fr-CA"/>
        </w:rPr>
        <w:t>des rapports annuels sur les dépenses admissibles engagées par le bénéficiaire et fondées sur la répartition des dépenses admissibles demandées, conformément au budget établi dans l’entente de financement;</w:t>
      </w:r>
    </w:p>
    <w:p w14:paraId="7D961C4E" w14:textId="77777777" w:rsidR="00B53A55" w:rsidRPr="00427042" w:rsidRDefault="00F22BA4" w:rsidP="007E5F40">
      <w:pPr>
        <w:numPr>
          <w:ilvl w:val="0"/>
          <w:numId w:val="9"/>
        </w:numPr>
        <w:spacing w:before="0" w:after="0" w:line="240" w:lineRule="auto"/>
        <w:rPr>
          <w:sz w:val="22"/>
          <w:szCs w:val="22"/>
          <w:lang w:val="fr-CA"/>
        </w:rPr>
      </w:pPr>
      <w:r>
        <w:rPr>
          <w:sz w:val="22"/>
          <w:szCs w:val="22"/>
          <w:lang w:val="fr-CA"/>
        </w:rPr>
        <w:t>les faits saillants des activités de communication concernant le projet au cours de la période visée, le cas échéant;</w:t>
      </w:r>
    </w:p>
    <w:p w14:paraId="02C8E862" w14:textId="77777777" w:rsidR="00B53A55" w:rsidRPr="00427042" w:rsidRDefault="00B53A55" w:rsidP="007E5F40">
      <w:pPr>
        <w:numPr>
          <w:ilvl w:val="0"/>
          <w:numId w:val="9"/>
        </w:numPr>
        <w:spacing w:before="0" w:after="0" w:line="240" w:lineRule="auto"/>
        <w:rPr>
          <w:sz w:val="22"/>
          <w:szCs w:val="22"/>
          <w:lang w:val="fr-CA"/>
        </w:rPr>
      </w:pPr>
      <w:r>
        <w:rPr>
          <w:sz w:val="22"/>
          <w:szCs w:val="22"/>
          <w:lang w:val="fr-CA"/>
        </w:rPr>
        <w:t>les problèmes, sujets de préoccupation ou facteurs de risque susceptibles d’influer sur l’achèvement, le calendrier ou le budget du projet selon les plans initiaux, et aussi selon les stratégies d’atténuation proposées pour corriger la situation.</w:t>
      </w:r>
    </w:p>
    <w:p w14:paraId="70879772" w14:textId="273B87EE" w:rsidR="00B53A55" w:rsidRPr="00427042" w:rsidRDefault="00504293" w:rsidP="00417904">
      <w:pPr>
        <w:spacing w:line="240" w:lineRule="auto"/>
        <w:ind w:left="0" w:firstLine="0"/>
        <w:rPr>
          <w:b/>
          <w:sz w:val="22"/>
          <w:szCs w:val="22"/>
          <w:lang w:val="fr-CA"/>
        </w:rPr>
      </w:pPr>
      <w:r>
        <w:rPr>
          <w:b/>
          <w:bCs/>
          <w:sz w:val="22"/>
          <w:szCs w:val="22"/>
          <w:lang w:val="fr-CA"/>
        </w:rPr>
        <w:t>9.6 Rapports finaux</w:t>
      </w:r>
    </w:p>
    <w:p w14:paraId="1CC9D1D3" w14:textId="77777777" w:rsidR="00B53A55" w:rsidRPr="00427042" w:rsidRDefault="00B53A55" w:rsidP="00417904">
      <w:pPr>
        <w:spacing w:line="240" w:lineRule="auto"/>
        <w:ind w:left="0" w:firstLine="0"/>
        <w:rPr>
          <w:sz w:val="22"/>
          <w:szCs w:val="22"/>
          <w:lang w:val="fr-CA"/>
        </w:rPr>
      </w:pPr>
      <w:r>
        <w:rPr>
          <w:sz w:val="22"/>
          <w:szCs w:val="22"/>
          <w:lang w:val="fr-CA"/>
        </w:rPr>
        <w:t xml:space="preserve">Lorsqu’un projet est terminé, les bénéficiaires seront tenus de présenter un rapport final. Ce rapport devrait donner un résumé des informations demandées dans les rapports annuels et permettre de vérifier l’ensemble des activités, des coûts et des résultats du projet. Dans le cadre de l’entente de financement, nous devons recevoir le rapport définitif avant de régler les demandes finales de remboursement des dépenses. </w:t>
      </w:r>
    </w:p>
    <w:p w14:paraId="05835B4E" w14:textId="77777777" w:rsidR="00B53A55" w:rsidRPr="00427042" w:rsidRDefault="00B53A55" w:rsidP="00417904">
      <w:pPr>
        <w:spacing w:line="240" w:lineRule="auto"/>
        <w:ind w:left="0" w:firstLine="0"/>
        <w:rPr>
          <w:sz w:val="22"/>
          <w:szCs w:val="22"/>
          <w:lang w:val="fr-CA"/>
        </w:rPr>
      </w:pPr>
      <w:r>
        <w:rPr>
          <w:sz w:val="22"/>
          <w:szCs w:val="22"/>
          <w:lang w:val="fr-CA"/>
        </w:rPr>
        <w:t>En plus des renseignements requis dans le rapport final, le bénéficiaire pourrait être invité à fournir une évaluation et une analyse générale des objectifs réalisés, des résultats atteints et des leçons apprises.</w:t>
      </w:r>
    </w:p>
    <w:p w14:paraId="1B527609" w14:textId="77777777" w:rsidR="00B53A55" w:rsidRPr="00427042" w:rsidRDefault="00504293" w:rsidP="00417904">
      <w:pPr>
        <w:spacing w:line="240" w:lineRule="auto"/>
        <w:ind w:left="0" w:firstLine="0"/>
        <w:rPr>
          <w:b/>
          <w:sz w:val="22"/>
          <w:szCs w:val="22"/>
          <w:lang w:val="fr-CA"/>
        </w:rPr>
      </w:pPr>
      <w:r>
        <w:rPr>
          <w:b/>
          <w:bCs/>
          <w:sz w:val="22"/>
          <w:szCs w:val="22"/>
          <w:lang w:val="fr-CA"/>
        </w:rPr>
        <w:t xml:space="preserve">9.7 Demandes de remboursement </w:t>
      </w:r>
    </w:p>
    <w:p w14:paraId="458701AC" w14:textId="77777777" w:rsidR="00B53A55" w:rsidRPr="00427042" w:rsidRDefault="00B53A55" w:rsidP="00417904">
      <w:pPr>
        <w:spacing w:line="240" w:lineRule="auto"/>
        <w:ind w:left="0" w:firstLine="0"/>
        <w:rPr>
          <w:sz w:val="22"/>
          <w:szCs w:val="22"/>
          <w:lang w:val="fr-CA"/>
        </w:rPr>
      </w:pPr>
      <w:r>
        <w:rPr>
          <w:sz w:val="22"/>
          <w:szCs w:val="22"/>
          <w:lang w:val="fr-CA"/>
        </w:rPr>
        <w:lastRenderedPageBreak/>
        <w:t xml:space="preserve">Les bénéficiaires ne peuvent présenter de demandes de remboursement que pour les dépenses </w:t>
      </w:r>
      <w:r>
        <w:rPr>
          <w:b/>
          <w:bCs/>
          <w:sz w:val="22"/>
          <w:szCs w:val="22"/>
          <w:lang w:val="fr-CA"/>
        </w:rPr>
        <w:t>précisées dans l’entente de financement.</w:t>
      </w:r>
      <w:r>
        <w:rPr>
          <w:sz w:val="22"/>
          <w:szCs w:val="22"/>
          <w:lang w:val="fr-CA"/>
        </w:rPr>
        <w:t xml:space="preserve"> Nous fournirons aux bénéficiaires des modèles qui reflètent les dépenses admissibles convenues dans l’entente de financement. Les bénéficiaires seront également tenus de présenter une liste de factures avec chaque demande de remboursement.</w:t>
      </w:r>
    </w:p>
    <w:p w14:paraId="67580B7C" w14:textId="77777777" w:rsidR="00B53A55" w:rsidRPr="00427042" w:rsidRDefault="00504293" w:rsidP="00417904">
      <w:pPr>
        <w:spacing w:line="240" w:lineRule="auto"/>
        <w:ind w:left="0" w:firstLine="0"/>
        <w:rPr>
          <w:b/>
          <w:sz w:val="22"/>
          <w:szCs w:val="22"/>
          <w:lang w:val="fr-CA"/>
        </w:rPr>
      </w:pPr>
      <w:r>
        <w:rPr>
          <w:b/>
          <w:bCs/>
          <w:sz w:val="22"/>
          <w:szCs w:val="22"/>
          <w:lang w:val="fr-CA"/>
        </w:rPr>
        <w:t xml:space="preserve">9.8 Langues officielles </w:t>
      </w:r>
    </w:p>
    <w:p w14:paraId="37BD7262" w14:textId="77777777" w:rsidR="00B53A55" w:rsidRPr="00427042" w:rsidRDefault="00B53A55" w:rsidP="00417904">
      <w:pPr>
        <w:spacing w:line="240" w:lineRule="auto"/>
        <w:ind w:left="0" w:firstLine="0"/>
        <w:rPr>
          <w:sz w:val="22"/>
          <w:szCs w:val="22"/>
          <w:lang w:val="fr-CA"/>
        </w:rPr>
      </w:pPr>
      <w:r>
        <w:rPr>
          <w:sz w:val="22"/>
          <w:szCs w:val="22"/>
          <w:lang w:val="fr-CA"/>
        </w:rPr>
        <w:t xml:space="preserve">Tous les bénéficiaires doivent se conformer aux dispositions de la </w:t>
      </w:r>
      <w:hyperlink r:id="rId10" w:history="1">
        <w:r>
          <w:rPr>
            <w:rStyle w:val="Hyperlink"/>
            <w:rFonts w:eastAsia="SimSun"/>
            <w:i/>
            <w:iCs/>
            <w:sz w:val="22"/>
            <w:szCs w:val="22"/>
            <w:lang w:val="fr-CA"/>
          </w:rPr>
          <w:t>Loi sur les langues officielle</w:t>
        </w:r>
      </w:hyperlink>
      <w:hyperlink r:id="rId11" w:history="1">
        <w:r>
          <w:rPr>
            <w:rStyle w:val="Hyperlink"/>
            <w:rFonts w:eastAsia="SimSun"/>
            <w:i/>
            <w:iCs/>
            <w:sz w:val="22"/>
            <w:szCs w:val="22"/>
            <w:lang w:val="fr-CA"/>
          </w:rPr>
          <w:t>s</w:t>
        </w:r>
      </w:hyperlink>
      <w:r>
        <w:rPr>
          <w:sz w:val="22"/>
          <w:szCs w:val="22"/>
          <w:lang w:val="fr-CA"/>
        </w:rPr>
        <w:t xml:space="preserve"> lorsqu’ils réalisent un projet financé dans le cadre de l’INS. Les exigences linguistiques peuvent s’appliquer aux projets en fonction de la portée (nationale, régionale ou locale) ou de la particularité des régions et des publics cibles des projets. Transports Canada collaborera avec chaque bénéficiaire retenu afin d’établir dans quelle mesure ces dispositions s’appliquent à son projet. </w:t>
      </w:r>
    </w:p>
    <w:p w14:paraId="79D9E760" w14:textId="77777777" w:rsidR="00B53A55" w:rsidRDefault="00B53A55" w:rsidP="00417904">
      <w:pPr>
        <w:pStyle w:val="Heading2"/>
        <w:numPr>
          <w:ilvl w:val="0"/>
          <w:numId w:val="4"/>
        </w:numPr>
      </w:pPr>
      <w:bookmarkStart w:id="19" w:name="_How_to_apply"/>
      <w:bookmarkEnd w:id="19"/>
      <w:r>
        <w:rPr>
          <w:bCs/>
          <w:lang w:val="fr-CA"/>
        </w:rPr>
        <w:t>Comment présenter une demande</w:t>
      </w:r>
    </w:p>
    <w:p w14:paraId="378E3C8C" w14:textId="77777777" w:rsidR="00B53A55" w:rsidRPr="00427042" w:rsidRDefault="00B53A55" w:rsidP="00417904">
      <w:pPr>
        <w:spacing w:line="240" w:lineRule="auto"/>
        <w:ind w:left="0" w:firstLine="0"/>
        <w:rPr>
          <w:lang w:val="fr-CA"/>
        </w:rPr>
      </w:pPr>
      <w:r>
        <w:rPr>
          <w:lang w:val="fr-CA"/>
        </w:rPr>
        <w:t>Les sections ci-dessous décrivent les documents requis pour présenter une proposition.</w:t>
      </w:r>
    </w:p>
    <w:p w14:paraId="66B58546" w14:textId="77777777" w:rsidR="00B53A55" w:rsidRPr="00427042" w:rsidRDefault="00C36503" w:rsidP="00417904">
      <w:pPr>
        <w:spacing w:line="240" w:lineRule="auto"/>
        <w:ind w:left="0" w:firstLine="0"/>
        <w:rPr>
          <w:sz w:val="22"/>
          <w:szCs w:val="22"/>
          <w:lang w:val="fr-CA"/>
        </w:rPr>
      </w:pPr>
      <w:r>
        <w:rPr>
          <w:sz w:val="22"/>
          <w:szCs w:val="22"/>
          <w:lang w:val="fr-CA"/>
        </w:rPr>
        <w:t xml:space="preserve">Le dossier de demande doit comprendre les éléments suivants : </w:t>
      </w:r>
    </w:p>
    <w:p w14:paraId="5CC6B408" w14:textId="77777777" w:rsidR="00B53A55" w:rsidRDefault="00B53A55" w:rsidP="005A0BBF">
      <w:pPr>
        <w:numPr>
          <w:ilvl w:val="0"/>
          <w:numId w:val="6"/>
        </w:numPr>
        <w:spacing w:before="0" w:after="0" w:line="240" w:lineRule="auto"/>
        <w:rPr>
          <w:sz w:val="22"/>
          <w:szCs w:val="22"/>
        </w:rPr>
      </w:pPr>
      <w:r>
        <w:rPr>
          <w:sz w:val="22"/>
          <w:szCs w:val="22"/>
          <w:lang w:val="fr-CA"/>
        </w:rPr>
        <w:t>Titre du projet et sommaire</w:t>
      </w:r>
    </w:p>
    <w:p w14:paraId="4DF57C6F" w14:textId="77777777" w:rsidR="00B53A55" w:rsidRDefault="00B53A55" w:rsidP="005A0BBF">
      <w:pPr>
        <w:numPr>
          <w:ilvl w:val="0"/>
          <w:numId w:val="6"/>
        </w:numPr>
        <w:spacing w:before="0" w:after="0" w:line="240" w:lineRule="auto"/>
        <w:rPr>
          <w:sz w:val="22"/>
          <w:szCs w:val="22"/>
        </w:rPr>
      </w:pPr>
      <w:r>
        <w:rPr>
          <w:sz w:val="22"/>
          <w:szCs w:val="22"/>
          <w:lang w:val="fr-CA"/>
        </w:rPr>
        <w:t>Renseignements sur le demandeur</w:t>
      </w:r>
    </w:p>
    <w:p w14:paraId="5DB38CE2" w14:textId="77777777" w:rsidR="00B53A55" w:rsidRPr="00427042" w:rsidRDefault="00B53A55" w:rsidP="00943CB3">
      <w:pPr>
        <w:numPr>
          <w:ilvl w:val="1"/>
          <w:numId w:val="6"/>
        </w:numPr>
        <w:spacing w:before="0" w:after="0" w:line="240" w:lineRule="auto"/>
        <w:rPr>
          <w:sz w:val="22"/>
          <w:szCs w:val="22"/>
          <w:lang w:val="fr-CA"/>
        </w:rPr>
      </w:pPr>
      <w:r>
        <w:rPr>
          <w:sz w:val="22"/>
          <w:szCs w:val="22"/>
          <w:lang w:val="fr-CA"/>
        </w:rPr>
        <w:t xml:space="preserve">dénomination sociale complète de l’organisme demandeur </w:t>
      </w:r>
    </w:p>
    <w:p w14:paraId="4C309CC8" w14:textId="77777777" w:rsidR="00B53A55" w:rsidRPr="00427042" w:rsidRDefault="00B53A55" w:rsidP="00943CB3">
      <w:pPr>
        <w:numPr>
          <w:ilvl w:val="1"/>
          <w:numId w:val="6"/>
        </w:numPr>
        <w:spacing w:before="0" w:after="0" w:line="240" w:lineRule="auto"/>
        <w:rPr>
          <w:sz w:val="22"/>
          <w:szCs w:val="22"/>
          <w:lang w:val="fr-CA"/>
        </w:rPr>
      </w:pPr>
      <w:r>
        <w:rPr>
          <w:sz w:val="22"/>
          <w:szCs w:val="22"/>
          <w:lang w:val="fr-CA"/>
        </w:rPr>
        <w:t xml:space="preserve">noms et titre de la personne-ressource principale de l’organisme demandeur </w:t>
      </w:r>
    </w:p>
    <w:p w14:paraId="7FFB86F5" w14:textId="77777777" w:rsidR="00B53A55" w:rsidRPr="00427042" w:rsidRDefault="00854BCA" w:rsidP="00943CB3">
      <w:pPr>
        <w:numPr>
          <w:ilvl w:val="1"/>
          <w:numId w:val="6"/>
        </w:numPr>
        <w:spacing w:before="0" w:after="0" w:line="240" w:lineRule="auto"/>
        <w:rPr>
          <w:sz w:val="22"/>
          <w:szCs w:val="22"/>
          <w:lang w:val="fr-CA"/>
        </w:rPr>
      </w:pPr>
      <w:r>
        <w:rPr>
          <w:sz w:val="22"/>
          <w:szCs w:val="22"/>
          <w:lang w:val="fr-CA"/>
        </w:rPr>
        <w:t xml:space="preserve">coordonnées telles que l’adresse postale, les numéros de téléphone, l’adresse courriel ou Internet, etc. </w:t>
      </w:r>
    </w:p>
    <w:p w14:paraId="6F757131" w14:textId="77777777" w:rsidR="00B53A55" w:rsidRDefault="00B53A55" w:rsidP="00943CB3">
      <w:pPr>
        <w:numPr>
          <w:ilvl w:val="0"/>
          <w:numId w:val="6"/>
        </w:numPr>
        <w:spacing w:before="0" w:after="0" w:line="240" w:lineRule="auto"/>
        <w:rPr>
          <w:sz w:val="22"/>
          <w:szCs w:val="22"/>
        </w:rPr>
      </w:pPr>
      <w:r>
        <w:rPr>
          <w:sz w:val="22"/>
          <w:szCs w:val="22"/>
          <w:lang w:val="fr-CA"/>
        </w:rPr>
        <w:lastRenderedPageBreak/>
        <w:t>Profil organisationnel</w:t>
      </w:r>
    </w:p>
    <w:p w14:paraId="07845F50" w14:textId="77777777" w:rsidR="00B53A55" w:rsidRDefault="00B53A55" w:rsidP="00943CB3">
      <w:pPr>
        <w:numPr>
          <w:ilvl w:val="1"/>
          <w:numId w:val="6"/>
        </w:numPr>
        <w:spacing w:before="0" w:after="0" w:line="240" w:lineRule="auto"/>
        <w:rPr>
          <w:sz w:val="22"/>
          <w:szCs w:val="22"/>
        </w:rPr>
      </w:pPr>
      <w:r>
        <w:rPr>
          <w:sz w:val="22"/>
          <w:szCs w:val="22"/>
          <w:lang w:val="fr-CA"/>
        </w:rPr>
        <w:t>type d’organisme</w:t>
      </w:r>
    </w:p>
    <w:p w14:paraId="7C4932EF" w14:textId="77777777" w:rsidR="00B53A55" w:rsidRDefault="00B53A55" w:rsidP="00943CB3">
      <w:pPr>
        <w:numPr>
          <w:ilvl w:val="1"/>
          <w:numId w:val="6"/>
        </w:numPr>
        <w:spacing w:before="0" w:after="0" w:line="240" w:lineRule="auto"/>
        <w:rPr>
          <w:sz w:val="22"/>
          <w:szCs w:val="22"/>
        </w:rPr>
      </w:pPr>
      <w:r>
        <w:rPr>
          <w:sz w:val="22"/>
          <w:szCs w:val="22"/>
          <w:lang w:val="fr-CA"/>
        </w:rPr>
        <w:t>structure organisationnelle et gouvernance</w:t>
      </w:r>
    </w:p>
    <w:p w14:paraId="1F3407D7" w14:textId="77777777" w:rsidR="00960AE2" w:rsidRDefault="00960AE2" w:rsidP="00943CB3">
      <w:pPr>
        <w:numPr>
          <w:ilvl w:val="1"/>
          <w:numId w:val="6"/>
        </w:numPr>
        <w:spacing w:before="0" w:after="0" w:line="240" w:lineRule="auto"/>
        <w:rPr>
          <w:sz w:val="22"/>
          <w:szCs w:val="22"/>
        </w:rPr>
      </w:pPr>
      <w:r>
        <w:rPr>
          <w:sz w:val="22"/>
          <w:szCs w:val="22"/>
          <w:lang w:val="fr-CA"/>
        </w:rPr>
        <w:t>mandat de l’organisme</w:t>
      </w:r>
    </w:p>
    <w:p w14:paraId="2A1D9740" w14:textId="77777777" w:rsidR="00B53A55" w:rsidRDefault="00B53A55" w:rsidP="00943CB3">
      <w:pPr>
        <w:numPr>
          <w:ilvl w:val="1"/>
          <w:numId w:val="6"/>
        </w:numPr>
        <w:spacing w:before="0" w:after="0" w:line="240" w:lineRule="auto"/>
        <w:rPr>
          <w:sz w:val="22"/>
          <w:szCs w:val="22"/>
        </w:rPr>
      </w:pPr>
      <w:r>
        <w:rPr>
          <w:sz w:val="22"/>
          <w:szCs w:val="22"/>
          <w:lang w:val="fr-CA"/>
        </w:rPr>
        <w:t>activités organisationnelles</w:t>
      </w:r>
    </w:p>
    <w:p w14:paraId="4C404B6A" w14:textId="77777777" w:rsidR="00B53A55" w:rsidRDefault="00B53A55" w:rsidP="00943CB3">
      <w:pPr>
        <w:numPr>
          <w:ilvl w:val="0"/>
          <w:numId w:val="6"/>
        </w:numPr>
        <w:spacing w:before="0" w:after="0" w:line="240" w:lineRule="auto"/>
        <w:rPr>
          <w:sz w:val="22"/>
          <w:szCs w:val="22"/>
        </w:rPr>
      </w:pPr>
      <w:r>
        <w:rPr>
          <w:sz w:val="22"/>
          <w:szCs w:val="22"/>
          <w:lang w:val="fr-CA"/>
        </w:rPr>
        <w:t xml:space="preserve">Personnel de gestion du projet </w:t>
      </w:r>
    </w:p>
    <w:p w14:paraId="599A0131" w14:textId="77777777" w:rsidR="00B53A55" w:rsidRDefault="00B53A55" w:rsidP="00943CB3">
      <w:pPr>
        <w:numPr>
          <w:ilvl w:val="1"/>
          <w:numId w:val="6"/>
        </w:numPr>
        <w:spacing w:before="0" w:after="0" w:line="240" w:lineRule="auto"/>
        <w:rPr>
          <w:sz w:val="22"/>
          <w:szCs w:val="22"/>
        </w:rPr>
      </w:pPr>
      <w:r>
        <w:rPr>
          <w:sz w:val="22"/>
          <w:szCs w:val="22"/>
          <w:lang w:val="fr-CA"/>
        </w:rPr>
        <w:t xml:space="preserve">gestionnaire de projet désigné </w:t>
      </w:r>
    </w:p>
    <w:p w14:paraId="042C8CEC" w14:textId="77777777" w:rsidR="00960AE2" w:rsidRPr="00427042" w:rsidRDefault="00960AE2" w:rsidP="00943CB3">
      <w:pPr>
        <w:numPr>
          <w:ilvl w:val="1"/>
          <w:numId w:val="6"/>
        </w:numPr>
        <w:spacing w:before="0" w:after="0" w:line="240" w:lineRule="auto"/>
        <w:rPr>
          <w:sz w:val="22"/>
          <w:szCs w:val="22"/>
          <w:lang w:val="fr-CA"/>
        </w:rPr>
      </w:pPr>
      <w:r>
        <w:rPr>
          <w:sz w:val="22"/>
          <w:szCs w:val="22"/>
          <w:lang w:val="fr-CA"/>
        </w:rPr>
        <w:t>qualifications et expérience du gestionnaire de projet</w:t>
      </w:r>
    </w:p>
    <w:p w14:paraId="3C26DE3A" w14:textId="77777777" w:rsidR="00992605" w:rsidRDefault="00B53A55" w:rsidP="00346C07">
      <w:pPr>
        <w:numPr>
          <w:ilvl w:val="1"/>
          <w:numId w:val="6"/>
        </w:numPr>
        <w:spacing w:before="0" w:after="0" w:line="240" w:lineRule="auto"/>
        <w:rPr>
          <w:sz w:val="22"/>
          <w:szCs w:val="22"/>
        </w:rPr>
      </w:pPr>
      <w:r>
        <w:rPr>
          <w:sz w:val="22"/>
          <w:szCs w:val="22"/>
          <w:lang w:val="fr-CA"/>
        </w:rPr>
        <w:t xml:space="preserve">Déclarations </w:t>
      </w:r>
    </w:p>
    <w:p w14:paraId="3A281C28" w14:textId="77777777" w:rsidR="00B53A55" w:rsidRPr="00992605" w:rsidRDefault="00B53A55" w:rsidP="00346C07">
      <w:pPr>
        <w:numPr>
          <w:ilvl w:val="1"/>
          <w:numId w:val="6"/>
        </w:numPr>
        <w:spacing w:before="0" w:after="0" w:line="240" w:lineRule="auto"/>
        <w:rPr>
          <w:sz w:val="22"/>
          <w:szCs w:val="22"/>
        </w:rPr>
      </w:pPr>
      <w:r>
        <w:rPr>
          <w:sz w:val="22"/>
          <w:szCs w:val="22"/>
          <w:lang w:val="fr-CA"/>
        </w:rPr>
        <w:t xml:space="preserve">questionnaire sur les conflits d’intérêts </w:t>
      </w:r>
    </w:p>
    <w:p w14:paraId="2FCCF024" w14:textId="77777777" w:rsidR="00B53A55" w:rsidRPr="00427042" w:rsidRDefault="00B53A55" w:rsidP="00943CB3">
      <w:pPr>
        <w:numPr>
          <w:ilvl w:val="1"/>
          <w:numId w:val="6"/>
        </w:numPr>
        <w:spacing w:before="0" w:after="0" w:line="240" w:lineRule="auto"/>
        <w:rPr>
          <w:sz w:val="22"/>
          <w:szCs w:val="22"/>
          <w:lang w:val="fr-CA"/>
        </w:rPr>
      </w:pPr>
      <w:r>
        <w:rPr>
          <w:sz w:val="22"/>
          <w:szCs w:val="22"/>
          <w:lang w:val="fr-CA"/>
        </w:rPr>
        <w:t xml:space="preserve">déclaration de l’organisme demandeur attestant de l’exactitude de la proposition de projet et de l’engagement dudit organisme à réaliser le projet, engagement portant la signature d’un mandataire autorisé </w:t>
      </w:r>
    </w:p>
    <w:p w14:paraId="6425651A" w14:textId="77777777" w:rsidR="00B53A55" w:rsidRDefault="00B53A55" w:rsidP="00943CB3">
      <w:pPr>
        <w:numPr>
          <w:ilvl w:val="0"/>
          <w:numId w:val="6"/>
        </w:numPr>
        <w:spacing w:before="0" w:after="0" w:line="240" w:lineRule="auto"/>
        <w:rPr>
          <w:sz w:val="22"/>
          <w:szCs w:val="22"/>
        </w:rPr>
      </w:pPr>
      <w:r>
        <w:rPr>
          <w:sz w:val="22"/>
          <w:szCs w:val="22"/>
          <w:lang w:val="fr-CA"/>
        </w:rPr>
        <w:t xml:space="preserve">Description du projet </w:t>
      </w:r>
    </w:p>
    <w:p w14:paraId="09A46FFD" w14:textId="77777777" w:rsidR="00B53A55" w:rsidRDefault="00B53A55" w:rsidP="00943CB3">
      <w:pPr>
        <w:numPr>
          <w:ilvl w:val="1"/>
          <w:numId w:val="6"/>
        </w:numPr>
        <w:spacing w:before="0" w:after="0" w:line="240" w:lineRule="auto"/>
        <w:rPr>
          <w:sz w:val="22"/>
          <w:szCs w:val="22"/>
        </w:rPr>
      </w:pPr>
      <w:r>
        <w:rPr>
          <w:sz w:val="22"/>
          <w:szCs w:val="22"/>
          <w:lang w:val="fr-CA"/>
        </w:rPr>
        <w:t xml:space="preserve">objectifs du projet </w:t>
      </w:r>
    </w:p>
    <w:p w14:paraId="0468F2B6" w14:textId="77777777" w:rsidR="00960AE2" w:rsidRDefault="00960AE2" w:rsidP="00943CB3">
      <w:pPr>
        <w:numPr>
          <w:ilvl w:val="1"/>
          <w:numId w:val="6"/>
        </w:numPr>
        <w:spacing w:before="0" w:after="0" w:line="240" w:lineRule="auto"/>
        <w:rPr>
          <w:sz w:val="22"/>
          <w:szCs w:val="22"/>
        </w:rPr>
      </w:pPr>
      <w:r>
        <w:rPr>
          <w:sz w:val="22"/>
          <w:szCs w:val="22"/>
          <w:lang w:val="fr-CA"/>
        </w:rPr>
        <w:t>lieu de l’exécution du projet</w:t>
      </w:r>
    </w:p>
    <w:p w14:paraId="4933F3A1" w14:textId="77777777" w:rsidR="00B53A55" w:rsidRPr="00427042" w:rsidRDefault="00B53A55" w:rsidP="00943CB3">
      <w:pPr>
        <w:numPr>
          <w:ilvl w:val="1"/>
          <w:numId w:val="6"/>
        </w:numPr>
        <w:spacing w:before="0" w:after="0" w:line="240" w:lineRule="auto"/>
        <w:rPr>
          <w:sz w:val="22"/>
          <w:szCs w:val="22"/>
          <w:lang w:val="fr-CA"/>
        </w:rPr>
      </w:pPr>
      <w:r>
        <w:rPr>
          <w:sz w:val="22"/>
          <w:szCs w:val="22"/>
          <w:lang w:val="fr-CA"/>
        </w:rPr>
        <w:t>dates de début et d’achèvement proposées</w:t>
      </w:r>
    </w:p>
    <w:p w14:paraId="69163436" w14:textId="77777777" w:rsidR="00B53A55" w:rsidRDefault="00B53A55" w:rsidP="00943CB3">
      <w:pPr>
        <w:numPr>
          <w:ilvl w:val="1"/>
          <w:numId w:val="6"/>
        </w:numPr>
        <w:spacing w:before="0" w:after="0" w:line="240" w:lineRule="auto"/>
        <w:rPr>
          <w:sz w:val="22"/>
          <w:szCs w:val="22"/>
        </w:rPr>
      </w:pPr>
      <w:r>
        <w:rPr>
          <w:sz w:val="22"/>
          <w:szCs w:val="22"/>
          <w:lang w:val="fr-CA"/>
        </w:rPr>
        <w:t>principales activités du projet</w:t>
      </w:r>
    </w:p>
    <w:p w14:paraId="13DDFBD3" w14:textId="77777777" w:rsidR="00B53A55" w:rsidRDefault="00B53A55" w:rsidP="00943CB3">
      <w:pPr>
        <w:numPr>
          <w:ilvl w:val="1"/>
          <w:numId w:val="6"/>
        </w:numPr>
        <w:spacing w:before="0" w:after="0" w:line="240" w:lineRule="auto"/>
        <w:rPr>
          <w:sz w:val="22"/>
          <w:szCs w:val="22"/>
        </w:rPr>
      </w:pPr>
      <w:r>
        <w:rPr>
          <w:sz w:val="22"/>
          <w:szCs w:val="22"/>
          <w:lang w:val="fr-CA"/>
        </w:rPr>
        <w:t>plan d’exécution du projet</w:t>
      </w:r>
    </w:p>
    <w:p w14:paraId="461278F6" w14:textId="77777777" w:rsidR="008D3976" w:rsidRDefault="008D3976" w:rsidP="00943CB3">
      <w:pPr>
        <w:numPr>
          <w:ilvl w:val="1"/>
          <w:numId w:val="6"/>
        </w:numPr>
        <w:spacing w:before="0" w:after="0" w:line="240" w:lineRule="auto"/>
        <w:rPr>
          <w:sz w:val="22"/>
          <w:szCs w:val="22"/>
        </w:rPr>
      </w:pPr>
      <w:r>
        <w:rPr>
          <w:sz w:val="22"/>
          <w:szCs w:val="22"/>
          <w:lang w:val="fr-CA"/>
        </w:rPr>
        <w:t>partenaires et contributions</w:t>
      </w:r>
    </w:p>
    <w:p w14:paraId="4DB74EC2" w14:textId="77777777" w:rsidR="00DD4B7D" w:rsidRPr="00427042" w:rsidRDefault="008D3976" w:rsidP="00CB57E2">
      <w:pPr>
        <w:pStyle w:val="ListParagraph"/>
        <w:numPr>
          <w:ilvl w:val="1"/>
          <w:numId w:val="6"/>
        </w:numPr>
        <w:spacing w:before="0" w:after="0" w:line="240" w:lineRule="auto"/>
        <w:rPr>
          <w:sz w:val="22"/>
          <w:szCs w:val="22"/>
          <w:lang w:val="fr-CA"/>
        </w:rPr>
      </w:pPr>
      <w:r>
        <w:rPr>
          <w:sz w:val="22"/>
          <w:szCs w:val="22"/>
          <w:lang w:val="fr-CA"/>
        </w:rPr>
        <w:t>évaluation des risques et mesures d’atténuation</w:t>
      </w:r>
    </w:p>
    <w:p w14:paraId="0C5536B5" w14:textId="77777777" w:rsidR="00B53A55" w:rsidRDefault="00AC6501" w:rsidP="00943CB3">
      <w:pPr>
        <w:numPr>
          <w:ilvl w:val="0"/>
          <w:numId w:val="6"/>
        </w:numPr>
        <w:spacing w:before="0" w:after="0" w:line="240" w:lineRule="auto"/>
        <w:rPr>
          <w:sz w:val="22"/>
          <w:szCs w:val="22"/>
        </w:rPr>
      </w:pPr>
      <w:r>
        <w:rPr>
          <w:sz w:val="22"/>
          <w:szCs w:val="22"/>
          <w:lang w:val="fr-CA"/>
        </w:rPr>
        <w:t>Plan de communication</w:t>
      </w:r>
    </w:p>
    <w:p w14:paraId="3C206325" w14:textId="77777777" w:rsidR="008D3976" w:rsidRDefault="008D3976" w:rsidP="00943CB3">
      <w:pPr>
        <w:numPr>
          <w:ilvl w:val="0"/>
          <w:numId w:val="6"/>
        </w:numPr>
        <w:spacing w:before="0" w:after="0" w:line="240" w:lineRule="auto"/>
        <w:rPr>
          <w:sz w:val="22"/>
          <w:szCs w:val="22"/>
        </w:rPr>
      </w:pPr>
      <w:r>
        <w:rPr>
          <w:sz w:val="22"/>
          <w:szCs w:val="22"/>
          <w:lang w:val="fr-CA"/>
        </w:rPr>
        <w:t>Lettres de soutien financier</w:t>
      </w:r>
    </w:p>
    <w:p w14:paraId="41884E6B" w14:textId="77777777" w:rsidR="00992605" w:rsidRDefault="00992605" w:rsidP="00943CB3">
      <w:pPr>
        <w:numPr>
          <w:ilvl w:val="0"/>
          <w:numId w:val="6"/>
        </w:numPr>
        <w:spacing w:before="0" w:after="0" w:line="240" w:lineRule="auto"/>
        <w:rPr>
          <w:sz w:val="22"/>
          <w:szCs w:val="22"/>
        </w:rPr>
      </w:pPr>
      <w:r>
        <w:rPr>
          <w:sz w:val="22"/>
          <w:szCs w:val="22"/>
          <w:lang w:val="fr-CA"/>
        </w:rPr>
        <w:t>Budget</w:t>
      </w:r>
    </w:p>
    <w:p w14:paraId="25353FC1" w14:textId="77777777" w:rsidR="00992605" w:rsidRPr="00427042" w:rsidRDefault="00992605" w:rsidP="00992605">
      <w:pPr>
        <w:pStyle w:val="ListParagraph"/>
        <w:numPr>
          <w:ilvl w:val="1"/>
          <w:numId w:val="6"/>
        </w:numPr>
        <w:spacing w:before="0" w:after="0" w:line="240" w:lineRule="auto"/>
        <w:rPr>
          <w:sz w:val="22"/>
          <w:szCs w:val="22"/>
          <w:lang w:val="fr-CA"/>
        </w:rPr>
      </w:pPr>
      <w:r>
        <w:rPr>
          <w:sz w:val="22"/>
          <w:szCs w:val="22"/>
          <w:lang w:val="fr-CA"/>
        </w:rPr>
        <w:t>Coûts détaillés du projet, par exercice financier, y compris toutes les contributions en espèces et en nature du secteur public ou du secteur privé, clairement ventilées par organisation.</w:t>
      </w:r>
    </w:p>
    <w:p w14:paraId="06DBA3A3" w14:textId="5E97661D" w:rsidR="00943CB3" w:rsidRPr="00BC2887" w:rsidRDefault="00FD0786" w:rsidP="00943CB3">
      <w:pPr>
        <w:spacing w:line="240" w:lineRule="auto"/>
        <w:ind w:left="0" w:firstLine="0"/>
        <w:rPr>
          <w:sz w:val="22"/>
          <w:szCs w:val="22"/>
          <w:lang w:val="fr-CA"/>
        </w:rPr>
      </w:pPr>
      <w:r>
        <w:rPr>
          <w:b/>
          <w:bCs/>
          <w:sz w:val="22"/>
          <w:szCs w:val="22"/>
          <w:lang w:val="fr-CA"/>
        </w:rPr>
        <w:lastRenderedPageBreak/>
        <w:t>Remarque importante</w:t>
      </w:r>
      <w:r w:rsidR="00BC2887">
        <w:rPr>
          <w:sz w:val="22"/>
          <w:szCs w:val="22"/>
          <w:lang w:val="fr-CA"/>
        </w:rPr>
        <w:t xml:space="preserve"> : Un </w:t>
      </w:r>
      <w:r w:rsidR="00BC2887" w:rsidRPr="00BC2887">
        <w:rPr>
          <w:sz w:val="22"/>
          <w:szCs w:val="22"/>
          <w:u w:val="single"/>
          <w:lang w:val="fr-CA"/>
        </w:rPr>
        <w:t>gabarit</w:t>
      </w:r>
      <w:r w:rsidRPr="00BC2887">
        <w:rPr>
          <w:sz w:val="22"/>
          <w:szCs w:val="22"/>
          <w:u w:val="single"/>
          <w:lang w:val="fr-CA"/>
        </w:rPr>
        <w:t xml:space="preserve"> de proposition de projet</w:t>
      </w:r>
      <w:r>
        <w:rPr>
          <w:sz w:val="22"/>
          <w:szCs w:val="22"/>
          <w:lang w:val="fr-CA"/>
        </w:rPr>
        <w:t xml:space="preserve"> et un </w:t>
      </w:r>
      <w:r w:rsidR="00BC2887" w:rsidRPr="00BC2887">
        <w:rPr>
          <w:sz w:val="22"/>
          <w:szCs w:val="22"/>
          <w:u w:val="single"/>
          <w:lang w:val="fr-CA"/>
        </w:rPr>
        <w:t>gabarit</w:t>
      </w:r>
      <w:r w:rsidRPr="00BC2887">
        <w:rPr>
          <w:sz w:val="22"/>
          <w:szCs w:val="22"/>
          <w:u w:val="single"/>
          <w:lang w:val="fr-CA"/>
        </w:rPr>
        <w:t xml:space="preserve"> de budget </w:t>
      </w:r>
      <w:r w:rsidR="00BC2887" w:rsidRPr="00BC2887">
        <w:rPr>
          <w:sz w:val="22"/>
          <w:szCs w:val="22"/>
          <w:u w:val="single"/>
          <w:lang w:val="fr-CA"/>
        </w:rPr>
        <w:t>et de trésorerie</w:t>
      </w:r>
      <w:r w:rsidR="00BC2887">
        <w:rPr>
          <w:sz w:val="22"/>
          <w:szCs w:val="22"/>
          <w:lang w:val="fr-CA"/>
        </w:rPr>
        <w:t xml:space="preserve"> </w:t>
      </w:r>
      <w:r>
        <w:rPr>
          <w:sz w:val="22"/>
          <w:szCs w:val="22"/>
          <w:lang w:val="fr-CA"/>
        </w:rPr>
        <w:t>sont joints au courriel d’appel de propositions. Veuillez utiliser ces modèles pour votre proposition de projet.</w:t>
      </w:r>
    </w:p>
    <w:p w14:paraId="3321537F" w14:textId="77777777" w:rsidR="00B53A55" w:rsidRDefault="00150283" w:rsidP="00417904">
      <w:pPr>
        <w:pStyle w:val="Heading2"/>
        <w:numPr>
          <w:ilvl w:val="0"/>
          <w:numId w:val="4"/>
        </w:numPr>
      </w:pPr>
      <w:bookmarkStart w:id="20" w:name="_12._Submitting_your"/>
      <w:bookmarkEnd w:id="20"/>
      <w:r>
        <w:rPr>
          <w:bCs/>
          <w:lang w:val="fr-CA"/>
        </w:rPr>
        <w:t>Présentation d’une demande</w:t>
      </w:r>
    </w:p>
    <w:p w14:paraId="208CFA38" w14:textId="77777777" w:rsidR="00B53A55" w:rsidRPr="00CB5AF3" w:rsidRDefault="00B53A55" w:rsidP="00417904">
      <w:pPr>
        <w:pStyle w:val="Heading3"/>
        <w:spacing w:line="240" w:lineRule="auto"/>
      </w:pPr>
      <w:r>
        <w:rPr>
          <w:bCs/>
          <w:lang w:val="fr-CA"/>
        </w:rPr>
        <w:t>Date limite de présentation des demandes</w:t>
      </w:r>
    </w:p>
    <w:p w14:paraId="5B67E9F8" w14:textId="021767A4" w:rsidR="00B53A55" w:rsidRPr="00427042" w:rsidRDefault="00B53A55" w:rsidP="00E063A2">
      <w:pPr>
        <w:spacing w:line="240" w:lineRule="auto"/>
        <w:ind w:left="0" w:firstLine="0"/>
        <w:rPr>
          <w:sz w:val="22"/>
          <w:szCs w:val="22"/>
          <w:lang w:val="fr-CA"/>
        </w:rPr>
      </w:pPr>
      <w:r>
        <w:rPr>
          <w:sz w:val="22"/>
          <w:szCs w:val="22"/>
          <w:lang w:val="fr-CA"/>
        </w:rPr>
        <w:t xml:space="preserve">Les demandes doivent avoir été reçues au plus tard le </w:t>
      </w:r>
      <w:r>
        <w:rPr>
          <w:b/>
          <w:bCs/>
          <w:sz w:val="22"/>
          <w:szCs w:val="22"/>
          <w:lang w:val="fr-CA"/>
        </w:rPr>
        <w:t>30 juin 2021.</w:t>
      </w:r>
      <w:r>
        <w:rPr>
          <w:sz w:val="22"/>
          <w:szCs w:val="22"/>
          <w:lang w:val="fr-CA"/>
        </w:rPr>
        <w:t xml:space="preserve"> </w:t>
      </w:r>
    </w:p>
    <w:p w14:paraId="3C87AEB4" w14:textId="77777777" w:rsidR="00B53A55" w:rsidRPr="00427042" w:rsidRDefault="00B53A55" w:rsidP="00417904">
      <w:pPr>
        <w:spacing w:line="240" w:lineRule="auto"/>
        <w:ind w:left="0" w:firstLine="0"/>
        <w:rPr>
          <w:sz w:val="22"/>
          <w:szCs w:val="22"/>
          <w:lang w:val="fr-CA"/>
        </w:rPr>
      </w:pPr>
      <w:r>
        <w:rPr>
          <w:sz w:val="22"/>
          <w:szCs w:val="22"/>
          <w:lang w:val="fr-CA"/>
        </w:rPr>
        <w:t xml:space="preserve">Remarque : Toutes les demandes et propositions de projet doivent être signées, complètes, exactes, détaillées et présentées au moyen des modèles fournis. Tous les demandeurs doivent fournir des documents juridiques qui attestent que l’organisme est une entité juridique (p. ex. en utilisant des lettres patentes, certificats de constitution ou autres instruments juridiques). Tout renseignement manquant ou incomplet aura pour effet de ralentir le traitement de votre demande et peut entraîner son rejet. </w:t>
      </w:r>
    </w:p>
    <w:p w14:paraId="3C46008A" w14:textId="77777777" w:rsidR="00B53A55" w:rsidRPr="00427042" w:rsidRDefault="00B53A55" w:rsidP="00AB3DB8">
      <w:pPr>
        <w:spacing w:line="240" w:lineRule="auto"/>
        <w:ind w:left="0" w:firstLine="0"/>
        <w:rPr>
          <w:sz w:val="22"/>
          <w:szCs w:val="22"/>
          <w:lang w:val="fr-CA"/>
        </w:rPr>
      </w:pPr>
      <w:r>
        <w:rPr>
          <w:sz w:val="22"/>
          <w:szCs w:val="22"/>
          <w:lang w:val="fr-CA"/>
        </w:rPr>
        <w:t xml:space="preserve">Le dossier de demande peut être envoyé par courriel. </w:t>
      </w:r>
    </w:p>
    <w:p w14:paraId="648F7D1B" w14:textId="2ED4862E" w:rsidR="00B53A55" w:rsidRPr="00427042" w:rsidRDefault="00B53A55" w:rsidP="00E063A2">
      <w:pPr>
        <w:spacing w:line="240" w:lineRule="auto"/>
        <w:ind w:left="0" w:firstLine="0"/>
        <w:rPr>
          <w:sz w:val="22"/>
          <w:szCs w:val="22"/>
          <w:lang w:val="fr-CA"/>
        </w:rPr>
      </w:pPr>
      <w:r>
        <w:rPr>
          <w:sz w:val="22"/>
          <w:szCs w:val="22"/>
          <w:lang w:val="fr-CA"/>
        </w:rPr>
        <w:t>Les dossiers de demande électroniques doivent être en format MS Word, MS Excel ou PDF. Envoyez votre demande à l’adresse suivante :</w:t>
      </w:r>
      <w:r>
        <w:rPr>
          <w:lang w:val="fr-CA"/>
        </w:rPr>
        <w:t xml:space="preserve"> </w:t>
      </w:r>
      <w:hyperlink r:id="rId12" w:history="1">
        <w:r>
          <w:rPr>
            <w:rStyle w:val="Hyperlink"/>
            <w:rFonts w:eastAsia="SimSun"/>
            <w:sz w:val="22"/>
            <w:szCs w:val="22"/>
            <w:lang w:val="fr-CA"/>
          </w:rPr>
          <w:t>QuietVesselInitiative-InitiativeDeNaviresSilencieux@tc.gc.ca</w:t>
        </w:r>
      </w:hyperlink>
      <w:r>
        <w:rPr>
          <w:sz w:val="22"/>
          <w:szCs w:val="22"/>
          <w:lang w:val="fr-CA"/>
        </w:rPr>
        <w:t xml:space="preserve">. </w:t>
      </w:r>
    </w:p>
    <w:p w14:paraId="6FBF5FE1" w14:textId="77777777" w:rsidR="00B53A55" w:rsidRPr="00427042" w:rsidRDefault="00B53A55" w:rsidP="00390931">
      <w:pPr>
        <w:spacing w:line="240" w:lineRule="auto"/>
        <w:rPr>
          <w:sz w:val="22"/>
          <w:szCs w:val="22"/>
          <w:lang w:val="fr-CA"/>
        </w:rPr>
      </w:pPr>
      <w:r>
        <w:rPr>
          <w:sz w:val="22"/>
          <w:szCs w:val="22"/>
          <w:lang w:val="fr-CA"/>
        </w:rPr>
        <w:t>Transports Canada confirmera la réception des dossiers de demande.</w:t>
      </w:r>
    </w:p>
    <w:p w14:paraId="1BCE2A3C" w14:textId="77777777" w:rsidR="00AA6F94" w:rsidRPr="00427042" w:rsidRDefault="00AA6F94" w:rsidP="00417904">
      <w:pPr>
        <w:spacing w:line="240" w:lineRule="auto"/>
        <w:rPr>
          <w:lang w:val="fr-CA"/>
        </w:rPr>
      </w:pPr>
    </w:p>
    <w:sectPr w:rsidR="00AA6F94" w:rsidRPr="00427042" w:rsidSect="003E120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22A5" w14:textId="77777777" w:rsidR="00356247" w:rsidRDefault="00356247" w:rsidP="00B25ECC">
      <w:pPr>
        <w:spacing w:before="0" w:after="0" w:line="240" w:lineRule="auto"/>
      </w:pPr>
      <w:r>
        <w:separator/>
      </w:r>
    </w:p>
  </w:endnote>
  <w:endnote w:type="continuationSeparator" w:id="0">
    <w:p w14:paraId="0762279E" w14:textId="77777777" w:rsidR="00356247" w:rsidRDefault="00356247" w:rsidP="00B25E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53066"/>
      <w:docPartObj>
        <w:docPartGallery w:val="Page Numbers (Bottom of Page)"/>
        <w:docPartUnique/>
      </w:docPartObj>
    </w:sdtPr>
    <w:sdtEndPr>
      <w:rPr>
        <w:noProof/>
      </w:rPr>
    </w:sdtEndPr>
    <w:sdtContent>
      <w:p w14:paraId="2ECAFF2F" w14:textId="598EC915" w:rsidR="00D91065" w:rsidRDefault="00D91065">
        <w:pPr>
          <w:pStyle w:val="Footer"/>
          <w:jc w:val="right"/>
        </w:pPr>
        <w:r>
          <w:rPr>
            <w:lang w:val="fr-CA"/>
          </w:rPr>
          <w:fldChar w:fldCharType="begin"/>
        </w:r>
        <w:r>
          <w:rPr>
            <w:lang w:val="fr-CA"/>
          </w:rPr>
          <w:instrText xml:space="preserve"> PAGE   \* MERGEFORMAT </w:instrText>
        </w:r>
        <w:r>
          <w:rPr>
            <w:lang w:val="fr-CA"/>
          </w:rPr>
          <w:fldChar w:fldCharType="separate"/>
        </w:r>
        <w:r w:rsidR="00B60025">
          <w:rPr>
            <w:noProof/>
            <w:lang w:val="fr-CA"/>
          </w:rPr>
          <w:t>1</w:t>
        </w:r>
        <w:r>
          <w:rPr>
            <w:noProof/>
            <w:lang w:val="fr-CA"/>
          </w:rPr>
          <w:fldChar w:fldCharType="end"/>
        </w:r>
      </w:p>
    </w:sdtContent>
  </w:sdt>
  <w:p w14:paraId="3CAC819F" w14:textId="77777777" w:rsidR="00135E8A" w:rsidRDefault="0013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F7D5" w14:textId="77777777" w:rsidR="00356247" w:rsidRDefault="00356247" w:rsidP="00B25ECC">
      <w:pPr>
        <w:spacing w:before="0" w:after="0" w:line="240" w:lineRule="auto"/>
      </w:pPr>
      <w:r>
        <w:separator/>
      </w:r>
    </w:p>
  </w:footnote>
  <w:footnote w:type="continuationSeparator" w:id="0">
    <w:p w14:paraId="4D34BB60" w14:textId="77777777" w:rsidR="00356247" w:rsidRDefault="00356247" w:rsidP="00B25ECC">
      <w:pPr>
        <w:spacing w:before="0" w:after="0" w:line="240" w:lineRule="auto"/>
      </w:pPr>
      <w:r>
        <w:continuationSeparator/>
      </w:r>
    </w:p>
  </w:footnote>
  <w:footnote w:id="1">
    <w:p w14:paraId="388E6224" w14:textId="77777777" w:rsidR="002B0729" w:rsidRPr="00427042" w:rsidRDefault="002B0729" w:rsidP="002B0729">
      <w:pPr>
        <w:pStyle w:val="FootnoteText"/>
        <w:ind w:left="0" w:firstLine="0"/>
        <w:rPr>
          <w:lang w:val="fr-CA"/>
        </w:rPr>
      </w:pPr>
      <w:r>
        <w:rPr>
          <w:rStyle w:val="FootnoteReference"/>
          <w:lang w:val="fr-CA"/>
        </w:rPr>
        <w:footnoteRef/>
      </w:r>
      <w:r>
        <w:rPr>
          <w:rFonts w:ascii="Times New Roman" w:hAnsi="Times New Roman"/>
          <w:sz w:val="18"/>
          <w:szCs w:val="18"/>
          <w:lang w:val="fr-CA"/>
        </w:rPr>
        <w:t>Un organe établi par une loi provinciale ou territoriale ou en conformité avec celle-ci ou par un règlement ou qui appartient en totalité à une province, un territoire ou une municipalité (p. ex., organismes de transport en commun, commissions, conseils, certaines autorités portuaires, ou sociétés d’État provinciales).</w:t>
      </w:r>
      <w:r>
        <w:rPr>
          <w:lang w:val="fr-CA"/>
        </w:rPr>
        <w:t xml:space="preserve">  </w:t>
      </w:r>
    </w:p>
  </w:footnote>
  <w:footnote w:id="2">
    <w:p w14:paraId="4957BFBE" w14:textId="77777777" w:rsidR="00446529" w:rsidRPr="00427042" w:rsidRDefault="00446529" w:rsidP="002F666B">
      <w:pPr>
        <w:pStyle w:val="FootnoteText"/>
        <w:rPr>
          <w:rFonts w:ascii="Times New Roman" w:hAnsi="Times New Roman"/>
          <w:sz w:val="18"/>
          <w:szCs w:val="18"/>
          <w:lang w:val="fr-CA"/>
        </w:rPr>
      </w:pPr>
      <w:r>
        <w:rPr>
          <w:rStyle w:val="FootnoteReference"/>
          <w:rFonts w:ascii="Times New Roman" w:hAnsi="Times New Roman"/>
          <w:sz w:val="18"/>
          <w:szCs w:val="18"/>
          <w:lang w:val="fr-CA"/>
        </w:rPr>
        <w:footnoteRef/>
      </w:r>
      <w:r>
        <w:rPr>
          <w:rFonts w:ascii="Times New Roman" w:hAnsi="Times New Roman"/>
          <w:sz w:val="18"/>
          <w:szCs w:val="18"/>
          <w:lang w:val="fr-CA"/>
        </w:rPr>
        <w:t xml:space="preserve"> Ressource de données et d’informations en ligne regroupant les résultats de diverses technologies, conceptions et approches de rénovation permettant de réduire le bruit pour différentes classes de navires</w:t>
      </w:r>
    </w:p>
  </w:footnote>
  <w:footnote w:id="3">
    <w:p w14:paraId="3343F044" w14:textId="5999ED0B" w:rsidR="00C86348" w:rsidRPr="00427042" w:rsidRDefault="00C86348" w:rsidP="00C86348">
      <w:pPr>
        <w:pStyle w:val="FootnoteText"/>
        <w:rPr>
          <w:lang w:val="fr-CA"/>
        </w:rPr>
      </w:pPr>
      <w:r>
        <w:rPr>
          <w:rStyle w:val="FootnoteReference"/>
          <w:lang w:val="fr-CA"/>
        </w:rPr>
        <w:footnoteRef/>
      </w:r>
      <w:r>
        <w:rPr>
          <w:lang w:val="fr-CA"/>
        </w:rPr>
        <w:t xml:space="preserve"> Niveau de maturité technologique (TRL), tel que défini par </w:t>
      </w:r>
      <w:hyperlink r:id="rId1" w:history="1">
        <w:r>
          <w:rPr>
            <w:rStyle w:val="Hyperlink"/>
            <w:lang w:val="fr-CA"/>
          </w:rPr>
          <w:t>https://www.ic.gc.ca/eic/site/080.nsf/fra/00002.html</w:t>
        </w:r>
      </w:hyperlink>
      <w:r>
        <w:rPr>
          <w:lang w:val="fr-CA"/>
        </w:rPr>
        <w:t>.  Le programme ne prendra en considération que les technologies dont le niveau de maturité est égal ou supérieur à six (6).</w:t>
      </w:r>
    </w:p>
    <w:p w14:paraId="0EC82189" w14:textId="6A9A7799" w:rsidR="00C86348" w:rsidRPr="00427042" w:rsidRDefault="00C86348" w:rsidP="00C86348">
      <w:pPr>
        <w:pStyle w:val="FootnoteText"/>
        <w:rPr>
          <w:lang w:val="fr-CA"/>
        </w:rPr>
      </w:pPr>
      <w:r>
        <w:rPr>
          <w:lang w:val="fr-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3E"/>
    <w:multiLevelType w:val="multilevel"/>
    <w:tmpl w:val="F75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064B"/>
    <w:multiLevelType w:val="hybridMultilevel"/>
    <w:tmpl w:val="2F04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735"/>
    <w:multiLevelType w:val="hybridMultilevel"/>
    <w:tmpl w:val="74E4C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F37FB"/>
    <w:multiLevelType w:val="hybridMultilevel"/>
    <w:tmpl w:val="9798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954A9"/>
    <w:multiLevelType w:val="hybridMultilevel"/>
    <w:tmpl w:val="6E808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2594A"/>
    <w:multiLevelType w:val="hybridMultilevel"/>
    <w:tmpl w:val="592C8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F94BC4"/>
    <w:multiLevelType w:val="hybridMultilevel"/>
    <w:tmpl w:val="E2186EAE"/>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7" w15:restartNumberingAfterBreak="0">
    <w:nsid w:val="1DCE0E98"/>
    <w:multiLevelType w:val="hybridMultilevel"/>
    <w:tmpl w:val="0118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734662"/>
    <w:multiLevelType w:val="hybridMultilevel"/>
    <w:tmpl w:val="C9928E80"/>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1C23A15"/>
    <w:multiLevelType w:val="multilevel"/>
    <w:tmpl w:val="E7A43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43F2A"/>
    <w:multiLevelType w:val="hybridMultilevel"/>
    <w:tmpl w:val="EC2A8F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7F80"/>
    <w:multiLevelType w:val="multilevel"/>
    <w:tmpl w:val="384C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E1573"/>
    <w:multiLevelType w:val="hybridMultilevel"/>
    <w:tmpl w:val="A92A583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74636"/>
    <w:multiLevelType w:val="hybridMultilevel"/>
    <w:tmpl w:val="6E900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4D3121"/>
    <w:multiLevelType w:val="hybridMultilevel"/>
    <w:tmpl w:val="E14E12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3130AC0"/>
    <w:multiLevelType w:val="hybridMultilevel"/>
    <w:tmpl w:val="6B60A792"/>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A18F8"/>
    <w:multiLevelType w:val="hybridMultilevel"/>
    <w:tmpl w:val="EBE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8179A7"/>
    <w:multiLevelType w:val="hybridMultilevel"/>
    <w:tmpl w:val="89F8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83834"/>
    <w:multiLevelType w:val="hybridMultilevel"/>
    <w:tmpl w:val="5984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1FD"/>
    <w:multiLevelType w:val="multilevel"/>
    <w:tmpl w:val="EC40D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771E4"/>
    <w:multiLevelType w:val="hybridMultilevel"/>
    <w:tmpl w:val="C97651F6"/>
    <w:lvl w:ilvl="0" w:tplc="AFDAE364">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D4DA0"/>
    <w:multiLevelType w:val="hybridMultilevel"/>
    <w:tmpl w:val="9FC4A2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47E63"/>
    <w:multiLevelType w:val="multilevel"/>
    <w:tmpl w:val="BA8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76E28"/>
    <w:multiLevelType w:val="hybridMultilevel"/>
    <w:tmpl w:val="81D67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A036A"/>
    <w:multiLevelType w:val="hybridMultilevel"/>
    <w:tmpl w:val="EFFE7588"/>
    <w:lvl w:ilvl="0" w:tplc="801E73A0">
      <w:start w:val="1"/>
      <w:numFmt w:val="decimal"/>
      <w:lvlText w:val="%1."/>
      <w:lvlJc w:val="left"/>
      <w:pPr>
        <w:ind w:left="1077" w:hanging="360"/>
      </w:pPr>
      <w:rPr>
        <w:rFonts w:hint="default"/>
        <w:color w:val="auto"/>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DC11E55"/>
    <w:multiLevelType w:val="hybridMultilevel"/>
    <w:tmpl w:val="6EC02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E2775F"/>
    <w:multiLevelType w:val="hybridMultilevel"/>
    <w:tmpl w:val="7272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9117DA"/>
    <w:multiLevelType w:val="hybridMultilevel"/>
    <w:tmpl w:val="8B9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321B5"/>
    <w:multiLevelType w:val="hybridMultilevel"/>
    <w:tmpl w:val="994CA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15777B"/>
    <w:multiLevelType w:val="hybridMultilevel"/>
    <w:tmpl w:val="FE8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05880"/>
    <w:multiLevelType w:val="hybridMultilevel"/>
    <w:tmpl w:val="E6F00AA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5C934A71"/>
    <w:multiLevelType w:val="hybridMultilevel"/>
    <w:tmpl w:val="1840A6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2" w15:restartNumberingAfterBreak="0">
    <w:nsid w:val="5CF86C0B"/>
    <w:multiLevelType w:val="hybridMultilevel"/>
    <w:tmpl w:val="18026584"/>
    <w:lvl w:ilvl="0" w:tplc="8BDE35B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B1C29"/>
    <w:multiLevelType w:val="hybridMultilevel"/>
    <w:tmpl w:val="F87A20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FC0F01"/>
    <w:multiLevelType w:val="hybridMultilevel"/>
    <w:tmpl w:val="B27CC0D0"/>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5" w15:restartNumberingAfterBreak="0">
    <w:nsid w:val="6434613D"/>
    <w:multiLevelType w:val="hybridMultilevel"/>
    <w:tmpl w:val="F2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96E42"/>
    <w:multiLevelType w:val="hybridMultilevel"/>
    <w:tmpl w:val="4E86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61926"/>
    <w:multiLevelType w:val="hybridMultilevel"/>
    <w:tmpl w:val="A4EC7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CB5664"/>
    <w:multiLevelType w:val="hybridMultilevel"/>
    <w:tmpl w:val="289C3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2E2C96"/>
    <w:multiLevelType w:val="multilevel"/>
    <w:tmpl w:val="8A124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06570"/>
    <w:multiLevelType w:val="hybridMultilevel"/>
    <w:tmpl w:val="AC20C0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8"/>
  </w:num>
  <w:num w:numId="4">
    <w:abstractNumId w:val="15"/>
  </w:num>
  <w:num w:numId="5">
    <w:abstractNumId w:val="33"/>
  </w:num>
  <w:num w:numId="6">
    <w:abstractNumId w:val="12"/>
  </w:num>
  <w:num w:numId="7">
    <w:abstractNumId w:val="34"/>
  </w:num>
  <w:num w:numId="8">
    <w:abstractNumId w:val="16"/>
  </w:num>
  <w:num w:numId="9">
    <w:abstractNumId w:val="36"/>
  </w:num>
  <w:num w:numId="10">
    <w:abstractNumId w:val="3"/>
  </w:num>
  <w:num w:numId="11">
    <w:abstractNumId w:val="22"/>
  </w:num>
  <w:num w:numId="12">
    <w:abstractNumId w:val="19"/>
  </w:num>
  <w:num w:numId="13">
    <w:abstractNumId w:val="11"/>
  </w:num>
  <w:num w:numId="14">
    <w:abstractNumId w:val="0"/>
  </w:num>
  <w:num w:numId="15">
    <w:abstractNumId w:val="35"/>
  </w:num>
  <w:num w:numId="16">
    <w:abstractNumId w:val="1"/>
  </w:num>
  <w:num w:numId="17">
    <w:abstractNumId w:val="37"/>
  </w:num>
  <w:num w:numId="18">
    <w:abstractNumId w:val="6"/>
  </w:num>
  <w:num w:numId="19">
    <w:abstractNumId w:val="29"/>
  </w:num>
  <w:num w:numId="20">
    <w:abstractNumId w:val="14"/>
  </w:num>
  <w:num w:numId="21">
    <w:abstractNumId w:val="20"/>
  </w:num>
  <w:num w:numId="22">
    <w:abstractNumId w:val="40"/>
  </w:num>
  <w:num w:numId="23">
    <w:abstractNumId w:val="23"/>
  </w:num>
  <w:num w:numId="24">
    <w:abstractNumId w:val="30"/>
  </w:num>
  <w:num w:numId="25">
    <w:abstractNumId w:val="26"/>
  </w:num>
  <w:num w:numId="26">
    <w:abstractNumId w:val="31"/>
  </w:num>
  <w:num w:numId="27">
    <w:abstractNumId w:val="25"/>
  </w:num>
  <w:num w:numId="28">
    <w:abstractNumId w:val="18"/>
  </w:num>
  <w:num w:numId="29">
    <w:abstractNumId w:val="27"/>
  </w:num>
  <w:num w:numId="30">
    <w:abstractNumId w:val="10"/>
  </w:num>
  <w:num w:numId="31">
    <w:abstractNumId w:val="4"/>
  </w:num>
  <w:num w:numId="32">
    <w:abstractNumId w:val="13"/>
  </w:num>
  <w:num w:numId="33">
    <w:abstractNumId w:val="7"/>
  </w:num>
  <w:num w:numId="34">
    <w:abstractNumId w:val="17"/>
  </w:num>
  <w:num w:numId="35">
    <w:abstractNumId w:val="9"/>
  </w:num>
  <w:num w:numId="36">
    <w:abstractNumId w:val="39"/>
  </w:num>
  <w:num w:numId="37">
    <w:abstractNumId w:val="5"/>
  </w:num>
  <w:num w:numId="38">
    <w:abstractNumId w:val="2"/>
  </w:num>
  <w:num w:numId="39">
    <w:abstractNumId w:val="38"/>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5"/>
    <w:rsid w:val="000165A0"/>
    <w:rsid w:val="00021ABC"/>
    <w:rsid w:val="00023CB0"/>
    <w:rsid w:val="00044FB6"/>
    <w:rsid w:val="000456A7"/>
    <w:rsid w:val="000470A7"/>
    <w:rsid w:val="0008337F"/>
    <w:rsid w:val="000846A7"/>
    <w:rsid w:val="000945E5"/>
    <w:rsid w:val="00094D6B"/>
    <w:rsid w:val="00094D8B"/>
    <w:rsid w:val="000965C6"/>
    <w:rsid w:val="000B1E75"/>
    <w:rsid w:val="000B5EC9"/>
    <w:rsid w:val="000C7192"/>
    <w:rsid w:val="000C73D6"/>
    <w:rsid w:val="000D4007"/>
    <w:rsid w:val="000D4F07"/>
    <w:rsid w:val="000E1144"/>
    <w:rsid w:val="000F72CB"/>
    <w:rsid w:val="00114882"/>
    <w:rsid w:val="001304E7"/>
    <w:rsid w:val="00131678"/>
    <w:rsid w:val="00135E8A"/>
    <w:rsid w:val="0013782E"/>
    <w:rsid w:val="00150283"/>
    <w:rsid w:val="00150D57"/>
    <w:rsid w:val="00153D94"/>
    <w:rsid w:val="00161DD2"/>
    <w:rsid w:val="00175AF7"/>
    <w:rsid w:val="00181AF2"/>
    <w:rsid w:val="00181CA6"/>
    <w:rsid w:val="00191DF0"/>
    <w:rsid w:val="00191EE3"/>
    <w:rsid w:val="001B13A3"/>
    <w:rsid w:val="001B6F5C"/>
    <w:rsid w:val="001D06B7"/>
    <w:rsid w:val="001D2DBA"/>
    <w:rsid w:val="001D516D"/>
    <w:rsid w:val="001E2FCE"/>
    <w:rsid w:val="001E39D0"/>
    <w:rsid w:val="001E5964"/>
    <w:rsid w:val="001F11C9"/>
    <w:rsid w:val="00206469"/>
    <w:rsid w:val="00223717"/>
    <w:rsid w:val="00223B98"/>
    <w:rsid w:val="00226D72"/>
    <w:rsid w:val="002342BD"/>
    <w:rsid w:val="00246704"/>
    <w:rsid w:val="0026719B"/>
    <w:rsid w:val="00276A1C"/>
    <w:rsid w:val="0028593D"/>
    <w:rsid w:val="00285F8C"/>
    <w:rsid w:val="00286E01"/>
    <w:rsid w:val="002871BC"/>
    <w:rsid w:val="0028767D"/>
    <w:rsid w:val="002A235A"/>
    <w:rsid w:val="002B0729"/>
    <w:rsid w:val="002B6392"/>
    <w:rsid w:val="002F666B"/>
    <w:rsid w:val="00303FCE"/>
    <w:rsid w:val="003154AC"/>
    <w:rsid w:val="00335228"/>
    <w:rsid w:val="00342872"/>
    <w:rsid w:val="00351F26"/>
    <w:rsid w:val="003520BC"/>
    <w:rsid w:val="00355C02"/>
    <w:rsid w:val="00356247"/>
    <w:rsid w:val="00370AFC"/>
    <w:rsid w:val="00384EB7"/>
    <w:rsid w:val="00387F00"/>
    <w:rsid w:val="00390931"/>
    <w:rsid w:val="003A0013"/>
    <w:rsid w:val="003A032E"/>
    <w:rsid w:val="003A05AC"/>
    <w:rsid w:val="003A56A5"/>
    <w:rsid w:val="003A7101"/>
    <w:rsid w:val="003B59A1"/>
    <w:rsid w:val="003C36F7"/>
    <w:rsid w:val="003C49F9"/>
    <w:rsid w:val="003D0829"/>
    <w:rsid w:val="003D0919"/>
    <w:rsid w:val="003D3C62"/>
    <w:rsid w:val="003E120B"/>
    <w:rsid w:val="003E45DB"/>
    <w:rsid w:val="003E4896"/>
    <w:rsid w:val="003F028C"/>
    <w:rsid w:val="003F49AB"/>
    <w:rsid w:val="003F4FCE"/>
    <w:rsid w:val="004038D6"/>
    <w:rsid w:val="0040689D"/>
    <w:rsid w:val="00417904"/>
    <w:rsid w:val="00427042"/>
    <w:rsid w:val="00430239"/>
    <w:rsid w:val="004340B4"/>
    <w:rsid w:val="0043513C"/>
    <w:rsid w:val="00437E69"/>
    <w:rsid w:val="004436CF"/>
    <w:rsid w:val="00446529"/>
    <w:rsid w:val="00447B60"/>
    <w:rsid w:val="004524F4"/>
    <w:rsid w:val="00460151"/>
    <w:rsid w:val="00461CCB"/>
    <w:rsid w:val="004634CB"/>
    <w:rsid w:val="004710B1"/>
    <w:rsid w:val="004844CC"/>
    <w:rsid w:val="0049144F"/>
    <w:rsid w:val="004A0A15"/>
    <w:rsid w:val="004A3D88"/>
    <w:rsid w:val="004B4A0F"/>
    <w:rsid w:val="004B716F"/>
    <w:rsid w:val="004E00BF"/>
    <w:rsid w:val="00504293"/>
    <w:rsid w:val="00537223"/>
    <w:rsid w:val="005373B4"/>
    <w:rsid w:val="00537752"/>
    <w:rsid w:val="00540582"/>
    <w:rsid w:val="00552860"/>
    <w:rsid w:val="00557DA1"/>
    <w:rsid w:val="005755E7"/>
    <w:rsid w:val="00584F65"/>
    <w:rsid w:val="005A0BBF"/>
    <w:rsid w:val="005A4FDB"/>
    <w:rsid w:val="005B7D5C"/>
    <w:rsid w:val="005D0A62"/>
    <w:rsid w:val="005D71C7"/>
    <w:rsid w:val="005D74A9"/>
    <w:rsid w:val="005E096E"/>
    <w:rsid w:val="005F2835"/>
    <w:rsid w:val="005F31D1"/>
    <w:rsid w:val="006603AA"/>
    <w:rsid w:val="00677DCA"/>
    <w:rsid w:val="006858A3"/>
    <w:rsid w:val="006A0239"/>
    <w:rsid w:val="006B5CD1"/>
    <w:rsid w:val="006C49F7"/>
    <w:rsid w:val="006F710F"/>
    <w:rsid w:val="007037F0"/>
    <w:rsid w:val="00710ADA"/>
    <w:rsid w:val="007142EF"/>
    <w:rsid w:val="00717CED"/>
    <w:rsid w:val="007260F4"/>
    <w:rsid w:val="007420E2"/>
    <w:rsid w:val="007466E9"/>
    <w:rsid w:val="00773406"/>
    <w:rsid w:val="0079035B"/>
    <w:rsid w:val="00791E8D"/>
    <w:rsid w:val="00792250"/>
    <w:rsid w:val="007B54B8"/>
    <w:rsid w:val="007C1180"/>
    <w:rsid w:val="007C2500"/>
    <w:rsid w:val="007C56F7"/>
    <w:rsid w:val="007C705B"/>
    <w:rsid w:val="007D11CF"/>
    <w:rsid w:val="007D4C54"/>
    <w:rsid w:val="007E35C1"/>
    <w:rsid w:val="007E5F40"/>
    <w:rsid w:val="007F1C82"/>
    <w:rsid w:val="00804AB2"/>
    <w:rsid w:val="00840857"/>
    <w:rsid w:val="00841BE9"/>
    <w:rsid w:val="00842E83"/>
    <w:rsid w:val="00854BCA"/>
    <w:rsid w:val="008801FC"/>
    <w:rsid w:val="00883D39"/>
    <w:rsid w:val="00883D4C"/>
    <w:rsid w:val="00893E99"/>
    <w:rsid w:val="00894D57"/>
    <w:rsid w:val="00895609"/>
    <w:rsid w:val="008B09D2"/>
    <w:rsid w:val="008C428C"/>
    <w:rsid w:val="008D0406"/>
    <w:rsid w:val="008D1144"/>
    <w:rsid w:val="008D3976"/>
    <w:rsid w:val="008D5F87"/>
    <w:rsid w:val="008E2765"/>
    <w:rsid w:val="008F289D"/>
    <w:rsid w:val="008F3E9D"/>
    <w:rsid w:val="008F447C"/>
    <w:rsid w:val="008F6B7E"/>
    <w:rsid w:val="009043E0"/>
    <w:rsid w:val="0091178E"/>
    <w:rsid w:val="00916084"/>
    <w:rsid w:val="009271D7"/>
    <w:rsid w:val="00943CB3"/>
    <w:rsid w:val="00947573"/>
    <w:rsid w:val="009570AC"/>
    <w:rsid w:val="009576CE"/>
    <w:rsid w:val="00960AE2"/>
    <w:rsid w:val="00966AD4"/>
    <w:rsid w:val="009725AF"/>
    <w:rsid w:val="009762BA"/>
    <w:rsid w:val="00976B33"/>
    <w:rsid w:val="00985FBD"/>
    <w:rsid w:val="00992605"/>
    <w:rsid w:val="00997160"/>
    <w:rsid w:val="009A07FF"/>
    <w:rsid w:val="009A58F7"/>
    <w:rsid w:val="009B095A"/>
    <w:rsid w:val="009B61CB"/>
    <w:rsid w:val="009D4358"/>
    <w:rsid w:val="009D4578"/>
    <w:rsid w:val="009D5457"/>
    <w:rsid w:val="009D7714"/>
    <w:rsid w:val="009E2D96"/>
    <w:rsid w:val="009F491B"/>
    <w:rsid w:val="00A24CC6"/>
    <w:rsid w:val="00A3770D"/>
    <w:rsid w:val="00A51A20"/>
    <w:rsid w:val="00A57D72"/>
    <w:rsid w:val="00A913AD"/>
    <w:rsid w:val="00AA3E0C"/>
    <w:rsid w:val="00AA6F94"/>
    <w:rsid w:val="00AA78EB"/>
    <w:rsid w:val="00AB3DB8"/>
    <w:rsid w:val="00AC6501"/>
    <w:rsid w:val="00AE0C82"/>
    <w:rsid w:val="00AE2F92"/>
    <w:rsid w:val="00AF1982"/>
    <w:rsid w:val="00B0203B"/>
    <w:rsid w:val="00B21393"/>
    <w:rsid w:val="00B25ECC"/>
    <w:rsid w:val="00B263D7"/>
    <w:rsid w:val="00B41806"/>
    <w:rsid w:val="00B53A55"/>
    <w:rsid w:val="00B555AF"/>
    <w:rsid w:val="00B60025"/>
    <w:rsid w:val="00B63FAA"/>
    <w:rsid w:val="00B64DDB"/>
    <w:rsid w:val="00B7501A"/>
    <w:rsid w:val="00B81833"/>
    <w:rsid w:val="00B86C8A"/>
    <w:rsid w:val="00B8764B"/>
    <w:rsid w:val="00B91F18"/>
    <w:rsid w:val="00BB6256"/>
    <w:rsid w:val="00BB7BBA"/>
    <w:rsid w:val="00BC2887"/>
    <w:rsid w:val="00BD113F"/>
    <w:rsid w:val="00BD5D44"/>
    <w:rsid w:val="00BE64E0"/>
    <w:rsid w:val="00BE787E"/>
    <w:rsid w:val="00BF0957"/>
    <w:rsid w:val="00C02C55"/>
    <w:rsid w:val="00C02FA1"/>
    <w:rsid w:val="00C03CBD"/>
    <w:rsid w:val="00C05082"/>
    <w:rsid w:val="00C10F57"/>
    <w:rsid w:val="00C230E3"/>
    <w:rsid w:val="00C23F89"/>
    <w:rsid w:val="00C34B38"/>
    <w:rsid w:val="00C36503"/>
    <w:rsid w:val="00C44048"/>
    <w:rsid w:val="00C5060D"/>
    <w:rsid w:val="00C552EC"/>
    <w:rsid w:val="00C63743"/>
    <w:rsid w:val="00C64E55"/>
    <w:rsid w:val="00C70CEA"/>
    <w:rsid w:val="00C74EEC"/>
    <w:rsid w:val="00C81A2B"/>
    <w:rsid w:val="00C86348"/>
    <w:rsid w:val="00C95B54"/>
    <w:rsid w:val="00C9728C"/>
    <w:rsid w:val="00CA1210"/>
    <w:rsid w:val="00CA46C2"/>
    <w:rsid w:val="00CB57E2"/>
    <w:rsid w:val="00CB75CB"/>
    <w:rsid w:val="00CC572C"/>
    <w:rsid w:val="00CE0828"/>
    <w:rsid w:val="00CE79F1"/>
    <w:rsid w:val="00D01E2C"/>
    <w:rsid w:val="00D037EB"/>
    <w:rsid w:val="00D13F48"/>
    <w:rsid w:val="00D17AD3"/>
    <w:rsid w:val="00D336C6"/>
    <w:rsid w:val="00D364C3"/>
    <w:rsid w:val="00D3772E"/>
    <w:rsid w:val="00D402C6"/>
    <w:rsid w:val="00D74E36"/>
    <w:rsid w:val="00D8071E"/>
    <w:rsid w:val="00D82426"/>
    <w:rsid w:val="00D86E77"/>
    <w:rsid w:val="00D87971"/>
    <w:rsid w:val="00D91065"/>
    <w:rsid w:val="00D917B2"/>
    <w:rsid w:val="00DB0CF2"/>
    <w:rsid w:val="00DB46F1"/>
    <w:rsid w:val="00DC3632"/>
    <w:rsid w:val="00DC7210"/>
    <w:rsid w:val="00DC77FB"/>
    <w:rsid w:val="00DD4B7D"/>
    <w:rsid w:val="00DE13D9"/>
    <w:rsid w:val="00DE277A"/>
    <w:rsid w:val="00DE6D05"/>
    <w:rsid w:val="00E02A63"/>
    <w:rsid w:val="00E063A2"/>
    <w:rsid w:val="00E103D4"/>
    <w:rsid w:val="00E126CA"/>
    <w:rsid w:val="00E165E5"/>
    <w:rsid w:val="00E2353B"/>
    <w:rsid w:val="00E30B8B"/>
    <w:rsid w:val="00E43C34"/>
    <w:rsid w:val="00E471B0"/>
    <w:rsid w:val="00E856B5"/>
    <w:rsid w:val="00E87203"/>
    <w:rsid w:val="00E93D09"/>
    <w:rsid w:val="00E97AC1"/>
    <w:rsid w:val="00EB2350"/>
    <w:rsid w:val="00EB47B8"/>
    <w:rsid w:val="00EC695D"/>
    <w:rsid w:val="00EC69C3"/>
    <w:rsid w:val="00ED7156"/>
    <w:rsid w:val="00EE2034"/>
    <w:rsid w:val="00EE4DDE"/>
    <w:rsid w:val="00EF11B5"/>
    <w:rsid w:val="00F036D8"/>
    <w:rsid w:val="00F04278"/>
    <w:rsid w:val="00F15D0A"/>
    <w:rsid w:val="00F22BA4"/>
    <w:rsid w:val="00F54301"/>
    <w:rsid w:val="00F6110A"/>
    <w:rsid w:val="00F6362B"/>
    <w:rsid w:val="00F64802"/>
    <w:rsid w:val="00F93587"/>
    <w:rsid w:val="00F93DCE"/>
    <w:rsid w:val="00FA3BF4"/>
    <w:rsid w:val="00FB38F3"/>
    <w:rsid w:val="00FB49EC"/>
    <w:rsid w:val="00FD0786"/>
    <w:rsid w:val="00FD11F3"/>
    <w:rsid w:val="00FE743E"/>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8786"/>
  <w15:chartTrackingRefBased/>
  <w15:docId w15:val="{BF6574F8-2C61-46BE-AABB-84483447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55"/>
    <w:pPr>
      <w:spacing w:before="200" w:after="120" w:line="360" w:lineRule="auto"/>
      <w:ind w:left="357" w:hanging="357"/>
    </w:pPr>
    <w:rPr>
      <w:rFonts w:ascii="Calibri" w:eastAsia="Times New Roman" w:hAnsi="Calibri" w:cs="Times New Roman"/>
      <w:sz w:val="21"/>
      <w:szCs w:val="21"/>
      <w:lang w:val="en-CA" w:eastAsia="en-CA"/>
    </w:rPr>
  </w:style>
  <w:style w:type="paragraph" w:styleId="Heading1">
    <w:name w:val="heading 1"/>
    <w:basedOn w:val="Normal"/>
    <w:next w:val="Normal"/>
    <w:link w:val="Heading1Char"/>
    <w:uiPriority w:val="9"/>
    <w:qFormat/>
    <w:rsid w:val="00B53A55"/>
    <w:pPr>
      <w:keepNext/>
      <w:keepLines/>
      <w:pBdr>
        <w:left w:val="single" w:sz="12" w:space="12" w:color="ED7D31"/>
      </w:pBdr>
      <w:spacing w:before="80" w:after="80" w:line="240" w:lineRule="auto"/>
      <w:outlineLvl w:val="0"/>
    </w:pPr>
    <w:rPr>
      <w:rFonts w:ascii="Cambria" w:eastAsia="SimSun" w:hAnsi="Cambria"/>
      <w:b/>
      <w:spacing w:val="10"/>
      <w:sz w:val="32"/>
      <w:szCs w:val="36"/>
      <w:lang w:val="x-none" w:eastAsia="x-none"/>
    </w:rPr>
  </w:style>
  <w:style w:type="paragraph" w:styleId="Heading2">
    <w:name w:val="heading 2"/>
    <w:basedOn w:val="Normal"/>
    <w:next w:val="Normal"/>
    <w:link w:val="Heading2Char"/>
    <w:uiPriority w:val="9"/>
    <w:unhideWhenUsed/>
    <w:qFormat/>
    <w:rsid w:val="00B53A55"/>
    <w:pPr>
      <w:keepNext/>
      <w:keepLines/>
      <w:spacing w:before="240" w:after="240" w:line="240" w:lineRule="auto"/>
      <w:outlineLvl w:val="1"/>
    </w:pPr>
    <w:rPr>
      <w:rFonts w:ascii="Cambria" w:eastAsia="SimSun" w:hAnsi="Cambria"/>
      <w:b/>
      <w:sz w:val="28"/>
      <w:szCs w:val="36"/>
      <w:lang w:val="x-none" w:eastAsia="x-none"/>
    </w:rPr>
  </w:style>
  <w:style w:type="paragraph" w:styleId="Heading3">
    <w:name w:val="heading 3"/>
    <w:basedOn w:val="Normal"/>
    <w:next w:val="Normal"/>
    <w:link w:val="Heading3Char"/>
    <w:uiPriority w:val="9"/>
    <w:unhideWhenUsed/>
    <w:qFormat/>
    <w:rsid w:val="00B53A55"/>
    <w:pPr>
      <w:keepNext/>
      <w:keepLines/>
      <w:spacing w:line="480" w:lineRule="auto"/>
      <w:outlineLvl w:val="2"/>
    </w:pPr>
    <w:rPr>
      <w:rFonts w:ascii="Cambria" w:eastAsia="SimSun" w:hAnsi="Cambria"/>
      <w:b/>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55"/>
    <w:rPr>
      <w:rFonts w:ascii="Cambria" w:eastAsia="SimSun" w:hAnsi="Cambria" w:cs="Times New Roman"/>
      <w:b/>
      <w:spacing w:val="10"/>
      <w:sz w:val="32"/>
      <w:szCs w:val="36"/>
      <w:lang w:val="x-none" w:eastAsia="x-none"/>
    </w:rPr>
  </w:style>
  <w:style w:type="character" w:customStyle="1" w:styleId="Heading2Char">
    <w:name w:val="Heading 2 Char"/>
    <w:basedOn w:val="DefaultParagraphFont"/>
    <w:link w:val="Heading2"/>
    <w:uiPriority w:val="9"/>
    <w:rsid w:val="00B53A55"/>
    <w:rPr>
      <w:rFonts w:ascii="Cambria" w:eastAsia="SimSun" w:hAnsi="Cambria" w:cs="Times New Roman"/>
      <w:b/>
      <w:sz w:val="28"/>
      <w:szCs w:val="36"/>
      <w:lang w:val="x-none" w:eastAsia="x-none"/>
    </w:rPr>
  </w:style>
  <w:style w:type="character" w:customStyle="1" w:styleId="Heading3Char">
    <w:name w:val="Heading 3 Char"/>
    <w:basedOn w:val="DefaultParagraphFont"/>
    <w:link w:val="Heading3"/>
    <w:uiPriority w:val="9"/>
    <w:rsid w:val="00B53A55"/>
    <w:rPr>
      <w:rFonts w:ascii="Cambria" w:eastAsia="SimSun" w:hAnsi="Cambria" w:cs="Times New Roman"/>
      <w:b/>
      <w:sz w:val="24"/>
      <w:szCs w:val="28"/>
      <w:lang w:val="x-none" w:eastAsia="x-none"/>
    </w:rPr>
  </w:style>
  <w:style w:type="character" w:styleId="Hyperlink">
    <w:name w:val="Hyperlink"/>
    <w:uiPriority w:val="99"/>
    <w:unhideWhenUsed/>
    <w:rsid w:val="00B53A55"/>
    <w:rPr>
      <w:color w:val="0000FF"/>
      <w:u w:val="single"/>
    </w:rPr>
  </w:style>
  <w:style w:type="paragraph" w:styleId="NormalWeb">
    <w:name w:val="Normal (Web)"/>
    <w:basedOn w:val="Normal"/>
    <w:uiPriority w:val="99"/>
    <w:unhideWhenUsed/>
    <w:rsid w:val="00B53A55"/>
    <w:pPr>
      <w:spacing w:before="100" w:beforeAutospacing="1" w:after="100" w:afterAutospacing="1"/>
    </w:pPr>
    <w:rPr>
      <w:lang w:eastAsia="fr-CA"/>
    </w:rPr>
  </w:style>
  <w:style w:type="character" w:styleId="Strong">
    <w:name w:val="Strong"/>
    <w:uiPriority w:val="22"/>
    <w:qFormat/>
    <w:rsid w:val="00B53A55"/>
    <w:rPr>
      <w:rFonts w:ascii="Calibri" w:eastAsia="SimSun" w:hAnsi="Calibri" w:cs="Arial"/>
      <w:b/>
      <w:bCs/>
      <w:spacing w:val="0"/>
      <w:w w:val="100"/>
      <w:position w:val="0"/>
      <w:sz w:val="20"/>
      <w:szCs w:val="20"/>
    </w:rPr>
  </w:style>
  <w:style w:type="paragraph" w:styleId="BodyText">
    <w:name w:val="Body Text"/>
    <w:basedOn w:val="Normal"/>
    <w:link w:val="BodyTextChar"/>
    <w:semiHidden/>
    <w:rsid w:val="00B53A55"/>
    <w:pPr>
      <w:overflowPunct w:val="0"/>
      <w:autoSpaceDE w:val="0"/>
      <w:autoSpaceDN w:val="0"/>
      <w:adjustRightInd w:val="0"/>
      <w:textAlignment w:val="baseline"/>
    </w:pPr>
    <w:rPr>
      <w:sz w:val="24"/>
      <w:szCs w:val="20"/>
      <w:lang w:val="fr-CA" w:eastAsia="x-none"/>
    </w:rPr>
  </w:style>
  <w:style w:type="character" w:customStyle="1" w:styleId="BodyTextChar">
    <w:name w:val="Body Text Char"/>
    <w:basedOn w:val="DefaultParagraphFont"/>
    <w:link w:val="BodyText"/>
    <w:semiHidden/>
    <w:rsid w:val="00B53A55"/>
    <w:rPr>
      <w:rFonts w:ascii="Calibri" w:eastAsia="Times New Roman" w:hAnsi="Calibri" w:cs="Times New Roman"/>
      <w:sz w:val="24"/>
      <w:szCs w:val="20"/>
      <w:lang w:val="fr-CA" w:eastAsia="x-none"/>
    </w:rPr>
  </w:style>
  <w:style w:type="paragraph" w:styleId="PlainText">
    <w:name w:val="Plain Text"/>
    <w:basedOn w:val="Normal"/>
    <w:link w:val="PlainTextChar"/>
    <w:uiPriority w:val="99"/>
    <w:semiHidden/>
    <w:unhideWhenUsed/>
    <w:rsid w:val="00B53A55"/>
    <w:pPr>
      <w:spacing w:before="0" w:after="0" w:line="240" w:lineRule="auto"/>
      <w:ind w:left="0" w:firstLine="0"/>
    </w:pPr>
    <w:rPr>
      <w:rFonts w:eastAsia="Calibri" w:cs="Consolas"/>
      <w:sz w:val="22"/>
      <w:lang w:eastAsia="en-US"/>
    </w:rPr>
  </w:style>
  <w:style w:type="character" w:customStyle="1" w:styleId="PlainTextChar">
    <w:name w:val="Plain Text Char"/>
    <w:basedOn w:val="DefaultParagraphFont"/>
    <w:link w:val="PlainText"/>
    <w:uiPriority w:val="99"/>
    <w:semiHidden/>
    <w:rsid w:val="00B53A55"/>
    <w:rPr>
      <w:rFonts w:ascii="Calibri" w:eastAsia="Calibri" w:hAnsi="Calibri" w:cs="Consolas"/>
      <w:szCs w:val="21"/>
      <w:lang w:val="en-CA"/>
    </w:rPr>
  </w:style>
  <w:style w:type="character" w:styleId="FollowedHyperlink">
    <w:name w:val="FollowedHyperlink"/>
    <w:basedOn w:val="DefaultParagraphFont"/>
    <w:uiPriority w:val="99"/>
    <w:semiHidden/>
    <w:unhideWhenUsed/>
    <w:rsid w:val="00B53A55"/>
    <w:rPr>
      <w:color w:val="954F72" w:themeColor="followedHyperlink"/>
      <w:u w:val="single"/>
    </w:rPr>
  </w:style>
  <w:style w:type="paragraph" w:styleId="ListParagraph">
    <w:name w:val="List Paragraph"/>
    <w:aliases w:val="Figure Caption,List Paragraph1,Recommendation,List Paragraph11,L,List Paragraph2,CV text,Table text,F5 List Paragraph,Dot pt,List Paragraph111,Medium Grid 1 - Accent 21,Numbered Paragraph,Bullet text,Bullet 1,Numbered Para 1,3"/>
    <w:basedOn w:val="Normal"/>
    <w:link w:val="ListParagraphChar"/>
    <w:uiPriority w:val="34"/>
    <w:qFormat/>
    <w:rsid w:val="00B53A55"/>
    <w:pPr>
      <w:ind w:left="720"/>
      <w:contextualSpacing/>
    </w:pPr>
  </w:style>
  <w:style w:type="character" w:styleId="CommentReference">
    <w:name w:val="annotation reference"/>
    <w:basedOn w:val="DefaultParagraphFont"/>
    <w:uiPriority w:val="99"/>
    <w:semiHidden/>
    <w:unhideWhenUsed/>
    <w:rsid w:val="00E856B5"/>
    <w:rPr>
      <w:sz w:val="16"/>
      <w:szCs w:val="16"/>
    </w:rPr>
  </w:style>
  <w:style w:type="paragraph" w:styleId="CommentText">
    <w:name w:val="annotation text"/>
    <w:basedOn w:val="Normal"/>
    <w:link w:val="CommentTextChar"/>
    <w:uiPriority w:val="99"/>
    <w:unhideWhenUsed/>
    <w:rsid w:val="00E856B5"/>
    <w:pPr>
      <w:spacing w:line="240" w:lineRule="auto"/>
    </w:pPr>
    <w:rPr>
      <w:sz w:val="20"/>
      <w:szCs w:val="20"/>
    </w:rPr>
  </w:style>
  <w:style w:type="character" w:customStyle="1" w:styleId="CommentTextChar">
    <w:name w:val="Comment Text Char"/>
    <w:basedOn w:val="DefaultParagraphFont"/>
    <w:link w:val="CommentText"/>
    <w:uiPriority w:val="99"/>
    <w:rsid w:val="00E856B5"/>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856B5"/>
    <w:rPr>
      <w:b/>
      <w:bCs/>
    </w:rPr>
  </w:style>
  <w:style w:type="character" w:customStyle="1" w:styleId="CommentSubjectChar">
    <w:name w:val="Comment Subject Char"/>
    <w:basedOn w:val="CommentTextChar"/>
    <w:link w:val="CommentSubject"/>
    <w:uiPriority w:val="99"/>
    <w:semiHidden/>
    <w:rsid w:val="00E856B5"/>
    <w:rPr>
      <w:rFonts w:ascii="Calibri" w:eastAsia="Times New Roman" w:hAnsi="Calibri" w:cs="Times New Roman"/>
      <w:b/>
      <w:bCs/>
      <w:sz w:val="20"/>
      <w:szCs w:val="20"/>
      <w:lang w:val="en-CA" w:eastAsia="en-CA"/>
    </w:rPr>
  </w:style>
  <w:style w:type="paragraph" w:styleId="BalloonText">
    <w:name w:val="Balloon Text"/>
    <w:basedOn w:val="Normal"/>
    <w:link w:val="BalloonTextChar"/>
    <w:uiPriority w:val="99"/>
    <w:semiHidden/>
    <w:unhideWhenUsed/>
    <w:rsid w:val="00E856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5"/>
    <w:rPr>
      <w:rFonts w:ascii="Segoe UI" w:eastAsia="Times New Roman" w:hAnsi="Segoe UI" w:cs="Segoe UI"/>
      <w:sz w:val="18"/>
      <w:szCs w:val="18"/>
      <w:lang w:val="en-CA" w:eastAsia="en-CA"/>
    </w:rPr>
  </w:style>
  <w:style w:type="paragraph" w:styleId="Revision">
    <w:name w:val="Revision"/>
    <w:hidden/>
    <w:uiPriority w:val="99"/>
    <w:semiHidden/>
    <w:rsid w:val="00A913AD"/>
    <w:pPr>
      <w:spacing w:after="0" w:line="240" w:lineRule="auto"/>
    </w:pPr>
    <w:rPr>
      <w:rFonts w:ascii="Calibri" w:eastAsia="Times New Roman" w:hAnsi="Calibri" w:cs="Times New Roman"/>
      <w:sz w:val="21"/>
      <w:szCs w:val="21"/>
      <w:lang w:val="en-CA" w:eastAsia="en-CA"/>
    </w:rPr>
  </w:style>
  <w:style w:type="paragraph" w:customStyle="1" w:styleId="Default">
    <w:name w:val="Default"/>
    <w:rsid w:val="00DE277A"/>
    <w:pPr>
      <w:autoSpaceDE w:val="0"/>
      <w:autoSpaceDN w:val="0"/>
      <w:adjustRightInd w:val="0"/>
      <w:spacing w:after="0" w:line="240" w:lineRule="auto"/>
    </w:pPr>
    <w:rPr>
      <w:rFonts w:ascii="Calibri" w:eastAsia="MS Mincho" w:hAnsi="Calibri" w:cs="Calibri"/>
      <w:color w:val="000000"/>
      <w:sz w:val="24"/>
      <w:szCs w:val="24"/>
    </w:rPr>
  </w:style>
  <w:style w:type="paragraph" w:styleId="FootnoteText">
    <w:name w:val="footnote text"/>
    <w:basedOn w:val="Normal"/>
    <w:link w:val="FootnoteTextChar"/>
    <w:uiPriority w:val="99"/>
    <w:semiHidden/>
    <w:unhideWhenUsed/>
    <w:rsid w:val="00B25EC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25ECC"/>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B25ECC"/>
    <w:rPr>
      <w:vertAlign w:val="superscript"/>
    </w:rPr>
  </w:style>
  <w:style w:type="paragraph" w:styleId="NoSpacing">
    <w:name w:val="No Spacing"/>
    <w:basedOn w:val="Normal"/>
    <w:link w:val="NoSpacingChar"/>
    <w:uiPriority w:val="1"/>
    <w:qFormat/>
    <w:rsid w:val="00B41806"/>
    <w:pPr>
      <w:spacing w:before="0" w:after="0" w:line="240" w:lineRule="auto"/>
      <w:ind w:left="0" w:firstLine="0"/>
    </w:pPr>
    <w:rPr>
      <w:sz w:val="22"/>
      <w:szCs w:val="22"/>
      <w:lang w:val="en-US" w:eastAsia="en-US" w:bidi="en-US"/>
    </w:rPr>
  </w:style>
  <w:style w:type="character" w:customStyle="1" w:styleId="NoSpacingChar">
    <w:name w:val="No Spacing Char"/>
    <w:basedOn w:val="DefaultParagraphFont"/>
    <w:link w:val="NoSpacing"/>
    <w:uiPriority w:val="1"/>
    <w:rsid w:val="00B41806"/>
    <w:rPr>
      <w:rFonts w:ascii="Calibri" w:eastAsia="Times New Roman" w:hAnsi="Calibri" w:cs="Times New Roman"/>
      <w:lang w:bidi="en-US"/>
    </w:rPr>
  </w:style>
  <w:style w:type="character" w:customStyle="1" w:styleId="ListParagraphChar">
    <w:name w:val="List Paragraph Char"/>
    <w:aliases w:val="Figure Caption Char,List Paragraph1 Char,Recommendation Char,List Paragraph11 Char,L Char,List Paragraph2 Char,CV text Char,Table text Char,F5 List Paragraph Char,Dot pt Char,List Paragraph111 Char,Medium Grid 1 - Accent 21 Char"/>
    <w:link w:val="ListParagraph"/>
    <w:uiPriority w:val="34"/>
    <w:qFormat/>
    <w:locked/>
    <w:rsid w:val="002F666B"/>
    <w:rPr>
      <w:rFonts w:ascii="Calibri" w:eastAsia="Times New Roman" w:hAnsi="Calibri" w:cs="Times New Roman"/>
      <w:sz w:val="21"/>
      <w:szCs w:val="21"/>
      <w:lang w:val="en-CA" w:eastAsia="en-CA"/>
    </w:rPr>
  </w:style>
  <w:style w:type="paragraph" w:styleId="Header">
    <w:name w:val="header"/>
    <w:basedOn w:val="Normal"/>
    <w:link w:val="HeaderChar"/>
    <w:uiPriority w:val="99"/>
    <w:unhideWhenUsed/>
    <w:rsid w:val="00DB46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6F1"/>
    <w:rPr>
      <w:rFonts w:ascii="Calibri" w:eastAsia="Times New Roman" w:hAnsi="Calibri" w:cs="Times New Roman"/>
      <w:sz w:val="21"/>
      <w:szCs w:val="21"/>
      <w:lang w:val="en-CA" w:eastAsia="en-CA"/>
    </w:rPr>
  </w:style>
  <w:style w:type="paragraph" w:styleId="Footer">
    <w:name w:val="footer"/>
    <w:basedOn w:val="Normal"/>
    <w:link w:val="FooterChar"/>
    <w:uiPriority w:val="99"/>
    <w:unhideWhenUsed/>
    <w:rsid w:val="00DB46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46F1"/>
    <w:rPr>
      <w:rFonts w:ascii="Calibri" w:eastAsia="Times New Roman" w:hAnsi="Calibri" w:cs="Times New Roman"/>
      <w:sz w:val="21"/>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4361">
      <w:bodyDiv w:val="1"/>
      <w:marLeft w:val="0"/>
      <w:marRight w:val="0"/>
      <w:marTop w:val="0"/>
      <w:marBottom w:val="0"/>
      <w:divBdr>
        <w:top w:val="none" w:sz="0" w:space="0" w:color="auto"/>
        <w:left w:val="none" w:sz="0" w:space="0" w:color="auto"/>
        <w:bottom w:val="none" w:sz="0" w:space="0" w:color="auto"/>
        <w:right w:val="none" w:sz="0" w:space="0" w:color="auto"/>
      </w:divBdr>
      <w:divsChild>
        <w:div w:id="412163843">
          <w:marLeft w:val="0"/>
          <w:marRight w:val="0"/>
          <w:marTop w:val="0"/>
          <w:marBottom w:val="0"/>
          <w:divBdr>
            <w:top w:val="none" w:sz="0" w:space="0" w:color="auto"/>
            <w:left w:val="none" w:sz="0" w:space="0" w:color="auto"/>
            <w:bottom w:val="none" w:sz="0" w:space="0" w:color="auto"/>
            <w:right w:val="none" w:sz="0" w:space="0" w:color="auto"/>
          </w:divBdr>
          <w:divsChild>
            <w:div w:id="1021197921">
              <w:marLeft w:val="0"/>
              <w:marRight w:val="0"/>
              <w:marTop w:val="0"/>
              <w:marBottom w:val="0"/>
              <w:divBdr>
                <w:top w:val="none" w:sz="0" w:space="0" w:color="auto"/>
                <w:left w:val="none" w:sz="0" w:space="0" w:color="auto"/>
                <w:bottom w:val="none" w:sz="0" w:space="0" w:color="auto"/>
                <w:right w:val="none" w:sz="0" w:space="0" w:color="auto"/>
              </w:divBdr>
              <w:divsChild>
                <w:div w:id="464473835">
                  <w:marLeft w:val="0"/>
                  <w:marRight w:val="0"/>
                  <w:marTop w:val="0"/>
                  <w:marBottom w:val="0"/>
                  <w:divBdr>
                    <w:top w:val="none" w:sz="0" w:space="0" w:color="auto"/>
                    <w:left w:val="none" w:sz="0" w:space="0" w:color="auto"/>
                    <w:bottom w:val="none" w:sz="0" w:space="0" w:color="auto"/>
                    <w:right w:val="none" w:sz="0" w:space="0" w:color="auto"/>
                  </w:divBdr>
                  <w:divsChild>
                    <w:div w:id="1196654235">
                      <w:marLeft w:val="0"/>
                      <w:marRight w:val="0"/>
                      <w:marTop w:val="0"/>
                      <w:marBottom w:val="0"/>
                      <w:divBdr>
                        <w:top w:val="none" w:sz="0" w:space="0" w:color="auto"/>
                        <w:left w:val="none" w:sz="0" w:space="0" w:color="auto"/>
                        <w:bottom w:val="none" w:sz="0" w:space="0" w:color="auto"/>
                        <w:right w:val="none" w:sz="0" w:space="0" w:color="auto"/>
                      </w:divBdr>
                      <w:divsChild>
                        <w:div w:id="1059354824">
                          <w:marLeft w:val="0"/>
                          <w:marRight w:val="0"/>
                          <w:marTop w:val="0"/>
                          <w:marBottom w:val="0"/>
                          <w:divBdr>
                            <w:top w:val="none" w:sz="0" w:space="0" w:color="auto"/>
                            <w:left w:val="none" w:sz="0" w:space="0" w:color="auto"/>
                            <w:bottom w:val="none" w:sz="0" w:space="0" w:color="auto"/>
                            <w:right w:val="none" w:sz="0" w:space="0" w:color="auto"/>
                          </w:divBdr>
                          <w:divsChild>
                            <w:div w:id="383141541">
                              <w:marLeft w:val="0"/>
                              <w:marRight w:val="0"/>
                              <w:marTop w:val="0"/>
                              <w:marBottom w:val="0"/>
                              <w:divBdr>
                                <w:top w:val="none" w:sz="0" w:space="0" w:color="auto"/>
                                <w:left w:val="none" w:sz="0" w:space="0" w:color="auto"/>
                                <w:bottom w:val="none" w:sz="0" w:space="0" w:color="auto"/>
                                <w:right w:val="none" w:sz="0" w:space="0" w:color="auto"/>
                              </w:divBdr>
                              <w:divsChild>
                                <w:div w:id="1856454888">
                                  <w:marLeft w:val="0"/>
                                  <w:marRight w:val="0"/>
                                  <w:marTop w:val="0"/>
                                  <w:marBottom w:val="0"/>
                                  <w:divBdr>
                                    <w:top w:val="none" w:sz="0" w:space="0" w:color="auto"/>
                                    <w:left w:val="none" w:sz="0" w:space="0" w:color="auto"/>
                                    <w:bottom w:val="none" w:sz="0" w:space="0" w:color="auto"/>
                                    <w:right w:val="none" w:sz="0" w:space="0" w:color="auto"/>
                                  </w:divBdr>
                                  <w:divsChild>
                                    <w:div w:id="2125077882">
                                      <w:marLeft w:val="0"/>
                                      <w:marRight w:val="0"/>
                                      <w:marTop w:val="0"/>
                                      <w:marBottom w:val="0"/>
                                      <w:divBdr>
                                        <w:top w:val="none" w:sz="0" w:space="0" w:color="auto"/>
                                        <w:left w:val="none" w:sz="0" w:space="0" w:color="auto"/>
                                        <w:bottom w:val="none" w:sz="0" w:space="0" w:color="auto"/>
                                        <w:right w:val="none" w:sz="0" w:space="0" w:color="auto"/>
                                      </w:divBdr>
                                      <w:divsChild>
                                        <w:div w:id="1126847827">
                                          <w:marLeft w:val="0"/>
                                          <w:marRight w:val="0"/>
                                          <w:marTop w:val="0"/>
                                          <w:marBottom w:val="0"/>
                                          <w:divBdr>
                                            <w:top w:val="none" w:sz="0" w:space="0" w:color="auto"/>
                                            <w:left w:val="none" w:sz="0" w:space="0" w:color="auto"/>
                                            <w:bottom w:val="none" w:sz="0" w:space="0" w:color="auto"/>
                                            <w:right w:val="none" w:sz="0" w:space="0" w:color="auto"/>
                                          </w:divBdr>
                                          <w:divsChild>
                                            <w:div w:id="449789414">
                                              <w:marLeft w:val="0"/>
                                              <w:marRight w:val="0"/>
                                              <w:marTop w:val="0"/>
                                              <w:marBottom w:val="495"/>
                                              <w:divBdr>
                                                <w:top w:val="none" w:sz="0" w:space="0" w:color="auto"/>
                                                <w:left w:val="none" w:sz="0" w:space="0" w:color="auto"/>
                                                <w:bottom w:val="none" w:sz="0" w:space="0" w:color="auto"/>
                                                <w:right w:val="none" w:sz="0" w:space="0" w:color="auto"/>
                                              </w:divBdr>
                                              <w:divsChild>
                                                <w:div w:id="16445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8176">
      <w:bodyDiv w:val="1"/>
      <w:marLeft w:val="0"/>
      <w:marRight w:val="0"/>
      <w:marTop w:val="0"/>
      <w:marBottom w:val="0"/>
      <w:divBdr>
        <w:top w:val="none" w:sz="0" w:space="0" w:color="auto"/>
        <w:left w:val="none" w:sz="0" w:space="0" w:color="auto"/>
        <w:bottom w:val="none" w:sz="0" w:space="0" w:color="auto"/>
        <w:right w:val="none" w:sz="0" w:space="0" w:color="auto"/>
      </w:divBdr>
      <w:divsChild>
        <w:div w:id="2061588138">
          <w:marLeft w:val="0"/>
          <w:marRight w:val="0"/>
          <w:marTop w:val="0"/>
          <w:marBottom w:val="0"/>
          <w:divBdr>
            <w:top w:val="none" w:sz="0" w:space="0" w:color="auto"/>
            <w:left w:val="none" w:sz="0" w:space="0" w:color="auto"/>
            <w:bottom w:val="none" w:sz="0" w:space="0" w:color="auto"/>
            <w:right w:val="none" w:sz="0" w:space="0" w:color="auto"/>
          </w:divBdr>
          <w:divsChild>
            <w:div w:id="1781072132">
              <w:marLeft w:val="0"/>
              <w:marRight w:val="0"/>
              <w:marTop w:val="0"/>
              <w:marBottom w:val="0"/>
              <w:divBdr>
                <w:top w:val="none" w:sz="0" w:space="0" w:color="auto"/>
                <w:left w:val="none" w:sz="0" w:space="0" w:color="auto"/>
                <w:bottom w:val="none" w:sz="0" w:space="0" w:color="auto"/>
                <w:right w:val="none" w:sz="0" w:space="0" w:color="auto"/>
              </w:divBdr>
              <w:divsChild>
                <w:div w:id="1137181245">
                  <w:marLeft w:val="0"/>
                  <w:marRight w:val="0"/>
                  <w:marTop w:val="0"/>
                  <w:marBottom w:val="0"/>
                  <w:divBdr>
                    <w:top w:val="none" w:sz="0" w:space="0" w:color="auto"/>
                    <w:left w:val="none" w:sz="0" w:space="0" w:color="auto"/>
                    <w:bottom w:val="none" w:sz="0" w:space="0" w:color="auto"/>
                    <w:right w:val="none" w:sz="0" w:space="0" w:color="auto"/>
                  </w:divBdr>
                  <w:divsChild>
                    <w:div w:id="357856489">
                      <w:marLeft w:val="0"/>
                      <w:marRight w:val="0"/>
                      <w:marTop w:val="0"/>
                      <w:marBottom w:val="0"/>
                      <w:divBdr>
                        <w:top w:val="none" w:sz="0" w:space="0" w:color="auto"/>
                        <w:left w:val="none" w:sz="0" w:space="0" w:color="auto"/>
                        <w:bottom w:val="none" w:sz="0" w:space="0" w:color="auto"/>
                        <w:right w:val="none" w:sz="0" w:space="0" w:color="auto"/>
                      </w:divBdr>
                      <w:divsChild>
                        <w:div w:id="2016226224">
                          <w:marLeft w:val="0"/>
                          <w:marRight w:val="0"/>
                          <w:marTop w:val="0"/>
                          <w:marBottom w:val="0"/>
                          <w:divBdr>
                            <w:top w:val="none" w:sz="0" w:space="0" w:color="auto"/>
                            <w:left w:val="none" w:sz="0" w:space="0" w:color="auto"/>
                            <w:bottom w:val="none" w:sz="0" w:space="0" w:color="auto"/>
                            <w:right w:val="none" w:sz="0" w:space="0" w:color="auto"/>
                          </w:divBdr>
                          <w:divsChild>
                            <w:div w:id="210770565">
                              <w:marLeft w:val="0"/>
                              <w:marRight w:val="0"/>
                              <w:marTop w:val="0"/>
                              <w:marBottom w:val="0"/>
                              <w:divBdr>
                                <w:top w:val="none" w:sz="0" w:space="0" w:color="auto"/>
                                <w:left w:val="none" w:sz="0" w:space="0" w:color="auto"/>
                                <w:bottom w:val="none" w:sz="0" w:space="0" w:color="auto"/>
                                <w:right w:val="none" w:sz="0" w:space="0" w:color="auto"/>
                              </w:divBdr>
                              <w:divsChild>
                                <w:div w:id="1800803937">
                                  <w:marLeft w:val="0"/>
                                  <w:marRight w:val="0"/>
                                  <w:marTop w:val="0"/>
                                  <w:marBottom w:val="0"/>
                                  <w:divBdr>
                                    <w:top w:val="none" w:sz="0" w:space="0" w:color="auto"/>
                                    <w:left w:val="none" w:sz="0" w:space="0" w:color="auto"/>
                                    <w:bottom w:val="none" w:sz="0" w:space="0" w:color="auto"/>
                                    <w:right w:val="none" w:sz="0" w:space="0" w:color="auto"/>
                                  </w:divBdr>
                                  <w:divsChild>
                                    <w:div w:id="456724110">
                                      <w:marLeft w:val="0"/>
                                      <w:marRight w:val="0"/>
                                      <w:marTop w:val="0"/>
                                      <w:marBottom w:val="0"/>
                                      <w:divBdr>
                                        <w:top w:val="none" w:sz="0" w:space="0" w:color="auto"/>
                                        <w:left w:val="none" w:sz="0" w:space="0" w:color="auto"/>
                                        <w:bottom w:val="none" w:sz="0" w:space="0" w:color="auto"/>
                                        <w:right w:val="none" w:sz="0" w:space="0" w:color="auto"/>
                                      </w:divBdr>
                                      <w:divsChild>
                                        <w:div w:id="1558783246">
                                          <w:marLeft w:val="0"/>
                                          <w:marRight w:val="0"/>
                                          <w:marTop w:val="0"/>
                                          <w:marBottom w:val="0"/>
                                          <w:divBdr>
                                            <w:top w:val="none" w:sz="0" w:space="0" w:color="auto"/>
                                            <w:left w:val="none" w:sz="0" w:space="0" w:color="auto"/>
                                            <w:bottom w:val="none" w:sz="0" w:space="0" w:color="auto"/>
                                            <w:right w:val="none" w:sz="0" w:space="0" w:color="auto"/>
                                          </w:divBdr>
                                          <w:divsChild>
                                            <w:div w:id="1406604629">
                                              <w:marLeft w:val="0"/>
                                              <w:marRight w:val="0"/>
                                              <w:marTop w:val="0"/>
                                              <w:marBottom w:val="495"/>
                                              <w:divBdr>
                                                <w:top w:val="none" w:sz="0" w:space="0" w:color="auto"/>
                                                <w:left w:val="none" w:sz="0" w:space="0" w:color="auto"/>
                                                <w:bottom w:val="none" w:sz="0" w:space="0" w:color="auto"/>
                                                <w:right w:val="none" w:sz="0" w:space="0" w:color="auto"/>
                                              </w:divBdr>
                                              <w:divsChild>
                                                <w:div w:id="17417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rembld5\AppData\Local\Microsoft\Windows\INetCache\Content.Outlook\7X25V0BY\mailto&#160;:QuietVesselInitiative-InitiativeDeNaviresSilencieux@tc.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O-3.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s-lois.justice.gc.ca/fra/lois/O-3.01/" TargetMode="External"/><Relationship Id="rId4" Type="http://schemas.openxmlformats.org/officeDocument/2006/relationships/settings" Target="settings.xml"/><Relationship Id="rId9" Type="http://schemas.openxmlformats.org/officeDocument/2006/relationships/hyperlink" Target="http://www.njc-cnm.gc.ca/directive/d10/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gc.ca/eic/site/080.nsf/fra/0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B21D-E5BD-433D-A94C-32158C4E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2902</Words>
  <Characters>16545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Parisien, Karine</dc:creator>
  <cp:keywords/>
  <dc:description/>
  <cp:lastModifiedBy>Tucker, Rolanda</cp:lastModifiedBy>
  <cp:revision>2</cp:revision>
  <cp:lastPrinted>2018-10-18T15:50:00Z</cp:lastPrinted>
  <dcterms:created xsi:type="dcterms:W3CDTF">2021-05-05T14:17:00Z</dcterms:created>
  <dcterms:modified xsi:type="dcterms:W3CDTF">2021-05-05T14:17:00Z</dcterms:modified>
</cp:coreProperties>
</file>