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D304C" w14:textId="13308C73" w:rsidR="001B28E7" w:rsidRDefault="00332519">
      <w:pPr>
        <w:pStyle w:val="BodyText"/>
        <w:ind w:left="3010"/>
        <w:rPr>
          <w:rFonts w:ascii="Times New Roman"/>
          <w:sz w:val="20"/>
        </w:rPr>
      </w:pPr>
      <w:bookmarkStart w:id="0" w:name="_GoBack"/>
      <w:bookmarkEnd w:id="0"/>
      <w:r>
        <w:rPr>
          <w:rFonts w:ascii="Times New Roman"/>
          <w:noProof/>
          <w:sz w:val="20"/>
        </w:rPr>
        <w:drawing>
          <wp:inline distT="0" distB="0" distL="0" distR="0" wp14:anchorId="0FEEE9E7" wp14:editId="4888D525">
            <wp:extent cx="1596326" cy="1207088"/>
            <wp:effectExtent l="0" t="0" r="4445"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1621948" cy="1226462"/>
                    </a:xfrm>
                    <a:prstGeom prst="rect">
                      <a:avLst/>
                    </a:prstGeom>
                  </pic:spPr>
                </pic:pic>
              </a:graphicData>
            </a:graphic>
          </wp:inline>
        </w:drawing>
      </w:r>
    </w:p>
    <w:p w14:paraId="35EF5358" w14:textId="77777777" w:rsidR="00C014F7" w:rsidRPr="0063003E" w:rsidRDefault="00C014F7" w:rsidP="00C014F7"/>
    <w:p w14:paraId="1289E5F7" w14:textId="43664908" w:rsidR="0099315D" w:rsidRDefault="00C014F7" w:rsidP="00063D10">
      <w:pPr>
        <w:ind w:left="-1530"/>
        <w:jc w:val="center"/>
        <w:rPr>
          <w:rFonts w:asciiTheme="majorHAnsi" w:hAnsiTheme="majorHAnsi"/>
          <w:b/>
          <w:bCs/>
          <w:sz w:val="28"/>
          <w:szCs w:val="28"/>
          <w:u w:val="single"/>
        </w:rPr>
      </w:pPr>
      <w:r w:rsidRPr="006808AB">
        <w:rPr>
          <w:rFonts w:asciiTheme="majorHAnsi" w:hAnsiTheme="majorHAnsi"/>
          <w:b/>
          <w:bCs/>
          <w:sz w:val="28"/>
          <w:szCs w:val="28"/>
          <w:u w:val="single"/>
        </w:rPr>
        <w:t>Wild Blueberry Fact Sheet &amp;</w:t>
      </w:r>
    </w:p>
    <w:p w14:paraId="655D1CF4" w14:textId="34A3FF67" w:rsidR="00C014F7" w:rsidRPr="006808AB" w:rsidRDefault="00C014F7" w:rsidP="00063D10">
      <w:pPr>
        <w:ind w:left="-1440"/>
        <w:jc w:val="center"/>
        <w:rPr>
          <w:rFonts w:asciiTheme="majorHAnsi" w:hAnsiTheme="majorHAnsi"/>
          <w:b/>
          <w:bCs/>
          <w:sz w:val="28"/>
          <w:szCs w:val="28"/>
          <w:u w:val="single"/>
        </w:rPr>
      </w:pPr>
      <w:r w:rsidRPr="006808AB">
        <w:rPr>
          <w:rFonts w:asciiTheme="majorHAnsi" w:hAnsiTheme="majorHAnsi"/>
          <w:b/>
          <w:bCs/>
          <w:sz w:val="28"/>
          <w:szCs w:val="28"/>
          <w:u w:val="single"/>
        </w:rPr>
        <w:t xml:space="preserve">Working With </w:t>
      </w:r>
      <w:r w:rsidR="0099315D">
        <w:rPr>
          <w:rFonts w:asciiTheme="majorHAnsi" w:hAnsiTheme="majorHAnsi"/>
          <w:b/>
          <w:bCs/>
          <w:sz w:val="28"/>
          <w:szCs w:val="28"/>
          <w:u w:val="single"/>
        </w:rPr>
        <w:t>the Wild Blueberry Association of North America</w:t>
      </w:r>
    </w:p>
    <w:p w14:paraId="0B2B0C20" w14:textId="77777777" w:rsidR="00C014F7" w:rsidRPr="00C014F7" w:rsidRDefault="00C014F7" w:rsidP="00C014F7">
      <w:pPr>
        <w:jc w:val="center"/>
        <w:rPr>
          <w:rFonts w:asciiTheme="majorHAnsi" w:hAnsiTheme="majorHAnsi"/>
          <w:b/>
          <w:bCs/>
          <w:sz w:val="28"/>
          <w:szCs w:val="28"/>
        </w:rPr>
      </w:pPr>
    </w:p>
    <w:p w14:paraId="395D2C76" w14:textId="05CB903D" w:rsidR="00C014F7" w:rsidRPr="00DC56D9" w:rsidRDefault="00C014F7" w:rsidP="00C014F7">
      <w:pPr>
        <w:jc w:val="center"/>
        <w:rPr>
          <w:i/>
          <w:iCs/>
          <w:sz w:val="24"/>
          <w:szCs w:val="24"/>
        </w:rPr>
      </w:pPr>
      <w:r w:rsidRPr="00DC56D9">
        <w:rPr>
          <w:i/>
          <w:iCs/>
          <w:sz w:val="24"/>
          <w:szCs w:val="24"/>
        </w:rPr>
        <w:t>We hope that these notes will be helpful in your research and future publications about Wild Blueberries, as well as your WBANA-supported projects</w:t>
      </w:r>
      <w:r w:rsidR="00DC56D9" w:rsidRPr="00DC56D9">
        <w:rPr>
          <w:i/>
          <w:iCs/>
          <w:sz w:val="24"/>
          <w:szCs w:val="24"/>
        </w:rPr>
        <w:t>.</w:t>
      </w:r>
    </w:p>
    <w:p w14:paraId="467F8E5F" w14:textId="77777777" w:rsidR="00C014F7" w:rsidRPr="005B5431" w:rsidRDefault="00C014F7" w:rsidP="00C014F7">
      <w:pPr>
        <w:jc w:val="center"/>
        <w:rPr>
          <w:i/>
          <w:iCs/>
          <w:sz w:val="28"/>
          <w:szCs w:val="28"/>
        </w:rPr>
      </w:pPr>
    </w:p>
    <w:p w14:paraId="2685B4BF" w14:textId="77777777" w:rsidR="00C014F7" w:rsidRPr="00F846AE" w:rsidRDefault="00C014F7" w:rsidP="00C014F7">
      <w:pPr>
        <w:pStyle w:val="Heading2"/>
        <w:rPr>
          <w:b/>
          <w:bCs/>
          <w:sz w:val="28"/>
          <w:szCs w:val="28"/>
        </w:rPr>
      </w:pPr>
      <w:r w:rsidRPr="00F846AE">
        <w:rPr>
          <w:b/>
          <w:bCs/>
          <w:sz w:val="28"/>
          <w:szCs w:val="28"/>
        </w:rPr>
        <w:t xml:space="preserve">Composition of Wild Blueberries </w:t>
      </w:r>
    </w:p>
    <w:p w14:paraId="7273BBE1" w14:textId="0DF17B74" w:rsidR="00C014F7" w:rsidRPr="00F846AE" w:rsidRDefault="00C014F7" w:rsidP="00C014F7">
      <w:pPr>
        <w:pStyle w:val="ListParagraph"/>
        <w:widowControl/>
        <w:numPr>
          <w:ilvl w:val="0"/>
          <w:numId w:val="1"/>
        </w:numPr>
        <w:autoSpaceDE/>
        <w:autoSpaceDN/>
        <w:contextualSpacing/>
      </w:pPr>
      <w:r w:rsidRPr="00F846AE">
        <w:t>USDA Nutritional Analysis of blueberries can be found in the “Legacy” da</w:t>
      </w:r>
      <w:r w:rsidR="00C733B6">
        <w:t>ta</w:t>
      </w:r>
      <w:r w:rsidRPr="00F846AE">
        <w:t xml:space="preserve"> at </w:t>
      </w:r>
      <w:r w:rsidRPr="00F846AE">
        <w:rPr>
          <w:rFonts w:eastAsia="Times New Roman" w:cstheme="minorHAnsi"/>
          <w:color w:val="000000"/>
          <w:lang w:val="en-CA"/>
        </w:rPr>
        <w:t> </w:t>
      </w:r>
      <w:hyperlink r:id="rId6" w:anchor="/food-details/173949/nutrients" w:history="1">
        <w:r w:rsidRPr="00F846AE">
          <w:rPr>
            <w:rFonts w:eastAsia="Times New Roman" w:cstheme="minorHAnsi"/>
            <w:color w:val="0000FF"/>
            <w:u w:val="single"/>
            <w:lang w:val="en-CA"/>
          </w:rPr>
          <w:t>https://fdc.nal.usda.gov/fdc-app.html#/food-details/173949/nutrients</w:t>
        </w:r>
      </w:hyperlink>
    </w:p>
    <w:p w14:paraId="5CFBA54A" w14:textId="77777777" w:rsidR="00C014F7" w:rsidRPr="00F846AE" w:rsidRDefault="00C014F7" w:rsidP="00C014F7">
      <w:pPr>
        <w:pStyle w:val="ListParagraph"/>
        <w:widowControl/>
        <w:numPr>
          <w:ilvl w:val="0"/>
          <w:numId w:val="1"/>
        </w:numPr>
        <w:autoSpaceDE/>
        <w:autoSpaceDN/>
        <w:contextualSpacing/>
      </w:pPr>
      <w:r w:rsidRPr="00F846AE">
        <w:t xml:space="preserve">For general composition of Wild Blueberries see </w:t>
      </w:r>
      <w:r w:rsidRPr="00F846AE">
        <w:fldChar w:fldCharType="begin" w:fldLock="1"/>
      </w:r>
      <w:r w:rsidRPr="00F846AE">
        <w:instrText>ADDIN CSL_CITATION {"citationItems":[{"id":"ITEM-1","itemData":{"ISSN":"00031062","abstract":"The chemical composition of the lowbush blueberry (Vaccinium angustifolium Aiton) cultivars Blomidon, Cumberland, and Fundy were examined at three stages of fruit maturity, before and after refrigerated storage, in a 2-year study. There were differences (P&lt; 0.001) related to maturity and cultivar in berry fresh weight, percentage dry matter, fruit firmness, percentage soluble solids, titratable acidity, and the concentration of sugar, acids, and anthocyanins. Among the nine organic and phenolic acids measured, seven acids varied among the maturity groups and eight varied among the cultivars. Between the 2 years of study there was a 60% difference in total fruit acid content as well as in the relative amounts of each acid. The 2-year mean profile of lowbush blueberry acids was distinctly different from that recently reported for highbush (Vaccinium corymbosum L.) and rabbiteye blueberries (Vaccinium ashei Reade). The level of certain acids as well as the concentration of anthocyanins increased during cold storage. Estimation of sugar concentration by percentage soluble solids overestimated sugar concentration by 3070. Acid measurement by titration underestimated acid content as measured by HPLC by 61%. Results of this study illustrate the variation in the chemical composition of lowbush blueberry fruit among cultivars, maturities, and seasons, and can be used to compare lowbush blueberries with other Vaccinium species.","author":[{"dropping-particle":"","family":"Kalt","given":"W.","non-dropping-particle":"","parse-names":false,"suffix":""},{"dropping-particle":"","family":"McDonald","given":"J.E.","non-dropping-particle":"","parse-names":false,"suffix":""}],"container-title":"Journal of the American Society of Horticultural Science","id":"ITEM-1","issue":"1","issued":{"date-parts":[["1996"]]},"page":"142-146","title":"Chemical composition of lowbush blueberry cultivars","type":"article-journal","volume":"121"},"uris":["http://www.mendeley.com/documents/?uuid=2be4cc63-c07e-463b-aa8c-62dd94766fa5"]}],"mendeley":{"formattedCitation":"[4]","plainTextFormattedCitation":"[4]","previouslyFormattedCitation":"[4]"},"properties":{"noteIndex":0},"schema":"https://github.com/citation-style-language/schema/raw/master/csl-citation.json"}</w:instrText>
      </w:r>
      <w:r w:rsidRPr="00F846AE">
        <w:fldChar w:fldCharType="separate"/>
      </w:r>
      <w:r w:rsidRPr="00F846AE">
        <w:rPr>
          <w:noProof/>
        </w:rPr>
        <w:t>[4]</w:t>
      </w:r>
      <w:r w:rsidRPr="00F846AE">
        <w:fldChar w:fldCharType="end"/>
      </w:r>
    </w:p>
    <w:p w14:paraId="3D010025" w14:textId="77777777" w:rsidR="00C014F7" w:rsidRPr="00F846AE" w:rsidRDefault="00C014F7" w:rsidP="00C014F7">
      <w:pPr>
        <w:pStyle w:val="Heading1"/>
        <w:rPr>
          <w:b/>
          <w:bCs/>
          <w:sz w:val="28"/>
          <w:szCs w:val="28"/>
        </w:rPr>
      </w:pPr>
      <w:r w:rsidRPr="00F846AE">
        <w:rPr>
          <w:b/>
          <w:bCs/>
          <w:sz w:val="28"/>
          <w:szCs w:val="28"/>
        </w:rPr>
        <w:t xml:space="preserve">Describing Wild Blueberries </w:t>
      </w:r>
    </w:p>
    <w:p w14:paraId="6A6F535F" w14:textId="77777777" w:rsidR="00C014F7" w:rsidRPr="00F846AE" w:rsidRDefault="00C014F7" w:rsidP="00C014F7">
      <w:pPr>
        <w:pStyle w:val="ListParagraph"/>
        <w:widowControl/>
        <w:numPr>
          <w:ilvl w:val="0"/>
          <w:numId w:val="2"/>
        </w:numPr>
        <w:autoSpaceDE/>
        <w:autoSpaceDN/>
        <w:contextualSpacing/>
      </w:pPr>
      <w:r w:rsidRPr="00F846AE">
        <w:t xml:space="preserve">Common name – Wild, lowbush blueberries </w:t>
      </w:r>
    </w:p>
    <w:p w14:paraId="4BDE4BBD" w14:textId="77777777" w:rsidR="00C014F7" w:rsidRPr="00F846AE" w:rsidRDefault="00C014F7" w:rsidP="00C014F7">
      <w:pPr>
        <w:pStyle w:val="ListParagraph"/>
        <w:widowControl/>
        <w:numPr>
          <w:ilvl w:val="0"/>
          <w:numId w:val="1"/>
        </w:numPr>
        <w:autoSpaceDE/>
        <w:autoSpaceDN/>
        <w:contextualSpacing/>
      </w:pPr>
      <w:r w:rsidRPr="00F846AE">
        <w:t>Species name -</w:t>
      </w:r>
      <w:r w:rsidRPr="00F846AE">
        <w:rPr>
          <w:i/>
          <w:iCs/>
        </w:rPr>
        <w:t xml:space="preserve"> Vaccinium angustifolium</w:t>
      </w:r>
      <w:r w:rsidRPr="00F846AE">
        <w:t xml:space="preserve"> </w:t>
      </w:r>
    </w:p>
    <w:p w14:paraId="2A0C5E8A" w14:textId="77777777" w:rsidR="00C014F7" w:rsidRPr="00F846AE" w:rsidRDefault="00C014F7" w:rsidP="00C014F7">
      <w:pPr>
        <w:pStyle w:val="ListParagraph"/>
        <w:widowControl/>
        <w:numPr>
          <w:ilvl w:val="0"/>
          <w:numId w:val="1"/>
        </w:numPr>
        <w:autoSpaceDE/>
        <w:autoSpaceDN/>
        <w:contextualSpacing/>
      </w:pPr>
      <w:r w:rsidRPr="00F846AE">
        <w:t xml:space="preserve">Description –Plants (approx. 5-12” tall) spread outward, providing continuous plant coverage across fields </w:t>
      </w:r>
    </w:p>
    <w:p w14:paraId="3793958C" w14:textId="77777777" w:rsidR="00C014F7" w:rsidRPr="00F846AE" w:rsidRDefault="00C014F7" w:rsidP="00C014F7">
      <w:pPr>
        <w:pStyle w:val="ListParagraph"/>
        <w:widowControl/>
        <w:numPr>
          <w:ilvl w:val="0"/>
          <w:numId w:val="1"/>
        </w:numPr>
        <w:autoSpaceDE/>
        <w:autoSpaceDN/>
        <w:contextualSpacing/>
      </w:pPr>
      <w:r w:rsidRPr="00F846AE">
        <w:t xml:space="preserve">Because they are wild, blueberry fields are genetically very diverse. </w:t>
      </w:r>
    </w:p>
    <w:p w14:paraId="33DCE54A" w14:textId="77777777" w:rsidR="00C014F7" w:rsidRPr="00F846AE" w:rsidRDefault="00C014F7" w:rsidP="00C014F7">
      <w:pPr>
        <w:pStyle w:val="ListParagraph"/>
        <w:widowControl/>
        <w:numPr>
          <w:ilvl w:val="0"/>
          <w:numId w:val="1"/>
        </w:numPr>
        <w:autoSpaceDE/>
        <w:autoSpaceDN/>
        <w:contextualSpacing/>
      </w:pPr>
      <w:r w:rsidRPr="00F846AE">
        <w:t xml:space="preserve">Harvested Wild Blueberry are a blend of copious genotypes </w:t>
      </w:r>
    </w:p>
    <w:p w14:paraId="714B83C6" w14:textId="37FC633D" w:rsidR="001B28E7" w:rsidRPr="00C014F7" w:rsidRDefault="00C014F7" w:rsidP="00C014F7">
      <w:pPr>
        <w:pStyle w:val="ListParagraph"/>
        <w:widowControl/>
        <w:numPr>
          <w:ilvl w:val="0"/>
          <w:numId w:val="1"/>
        </w:numPr>
        <w:autoSpaceDE/>
        <w:autoSpaceDN/>
        <w:contextualSpacing/>
      </w:pPr>
      <w:r w:rsidRPr="00F846AE">
        <w:t xml:space="preserve">For photos and more information see </w:t>
      </w:r>
      <w:hyperlink r:id="rId7" w:history="1">
        <w:r w:rsidRPr="00F846AE">
          <w:rPr>
            <w:rStyle w:val="Hyperlink"/>
          </w:rPr>
          <w:t>https://www.wildblueberries.com/why-wild/growing-harvest/</w:t>
        </w:r>
      </w:hyperlink>
    </w:p>
    <w:p w14:paraId="26EBB3B9" w14:textId="77777777" w:rsidR="00C014F7" w:rsidRPr="00F846AE" w:rsidRDefault="00C014F7" w:rsidP="00C014F7">
      <w:pPr>
        <w:pStyle w:val="Heading1"/>
        <w:rPr>
          <w:b/>
          <w:bCs/>
          <w:sz w:val="28"/>
          <w:szCs w:val="28"/>
        </w:rPr>
      </w:pPr>
      <w:r w:rsidRPr="00F846AE">
        <w:rPr>
          <w:b/>
          <w:bCs/>
          <w:sz w:val="28"/>
          <w:szCs w:val="28"/>
        </w:rPr>
        <w:t xml:space="preserve">Wild vs. Regular Blueberries </w:t>
      </w:r>
    </w:p>
    <w:p w14:paraId="3B5A7555" w14:textId="77777777" w:rsidR="00C014F7" w:rsidRPr="00F846AE" w:rsidRDefault="00C014F7" w:rsidP="00C014F7">
      <w:pPr>
        <w:pStyle w:val="ListParagraph"/>
        <w:numPr>
          <w:ilvl w:val="0"/>
          <w:numId w:val="3"/>
        </w:numPr>
      </w:pPr>
      <w:r w:rsidRPr="00F846AE">
        <w:t>Wild, lowbush blueberries =</w:t>
      </w:r>
      <w:r w:rsidRPr="00F846AE">
        <w:rPr>
          <w:i/>
          <w:iCs/>
        </w:rPr>
        <w:t xml:space="preserve"> Vaccinium angustifolium</w:t>
      </w:r>
      <w:r w:rsidRPr="00F846AE">
        <w:t xml:space="preserve">  and </w:t>
      </w:r>
      <w:r w:rsidRPr="00F846AE">
        <w:rPr>
          <w:i/>
          <w:iCs/>
        </w:rPr>
        <w:t xml:space="preserve">V. </w:t>
      </w:r>
      <w:proofErr w:type="spellStart"/>
      <w:r w:rsidRPr="00F846AE">
        <w:rPr>
          <w:i/>
          <w:iCs/>
        </w:rPr>
        <w:t>myrtilloides</w:t>
      </w:r>
      <w:proofErr w:type="spellEnd"/>
    </w:p>
    <w:p w14:paraId="18540F67" w14:textId="77777777" w:rsidR="00C014F7" w:rsidRPr="00F846AE" w:rsidRDefault="00C014F7" w:rsidP="00C014F7">
      <w:pPr>
        <w:pStyle w:val="ListParagraph"/>
        <w:numPr>
          <w:ilvl w:val="0"/>
          <w:numId w:val="3"/>
        </w:numPr>
      </w:pPr>
      <w:r w:rsidRPr="00F846AE">
        <w:t>Regular, highbush blueberries</w:t>
      </w:r>
      <w:r w:rsidRPr="00F846AE">
        <w:rPr>
          <w:i/>
          <w:iCs/>
        </w:rPr>
        <w:t xml:space="preserve"> = </w:t>
      </w:r>
      <w:proofErr w:type="spellStart"/>
      <w:r w:rsidRPr="00F846AE">
        <w:rPr>
          <w:i/>
          <w:iCs/>
        </w:rPr>
        <w:t>Vaccinium</w:t>
      </w:r>
      <w:proofErr w:type="spellEnd"/>
      <w:r w:rsidRPr="00F846AE">
        <w:rPr>
          <w:i/>
          <w:iCs/>
        </w:rPr>
        <w:t xml:space="preserve"> </w:t>
      </w:r>
      <w:proofErr w:type="spellStart"/>
      <w:r w:rsidRPr="00F846AE">
        <w:rPr>
          <w:i/>
          <w:iCs/>
        </w:rPr>
        <w:t>corymbosum</w:t>
      </w:r>
      <w:proofErr w:type="spellEnd"/>
      <w:r w:rsidRPr="00F846AE">
        <w:rPr>
          <w:i/>
          <w:iCs/>
        </w:rPr>
        <w:t xml:space="preserve"> and V. </w:t>
      </w:r>
      <w:proofErr w:type="gramStart"/>
      <w:r w:rsidRPr="00F846AE">
        <w:rPr>
          <w:i/>
          <w:iCs/>
        </w:rPr>
        <w:t xml:space="preserve">virgatum </w:t>
      </w:r>
      <w:r w:rsidRPr="00F846AE">
        <w:t>.</w:t>
      </w:r>
      <w:proofErr w:type="gramEnd"/>
      <w:r w:rsidRPr="00F846AE">
        <w:t xml:space="preserve"> </w:t>
      </w:r>
    </w:p>
    <w:p w14:paraId="6BDFADDE" w14:textId="77777777" w:rsidR="00C014F7" w:rsidRPr="00F846AE" w:rsidRDefault="00C014F7" w:rsidP="00C014F7">
      <w:pPr>
        <w:pStyle w:val="ListParagraph"/>
        <w:numPr>
          <w:ilvl w:val="0"/>
          <w:numId w:val="3"/>
        </w:numPr>
      </w:pPr>
      <w:r w:rsidRPr="00F846AE">
        <w:t>Wild blueberries are a complex mixture of genotypes whereas; regular commercial blueberries have only a few genotypes or varieties in each field.</w:t>
      </w:r>
    </w:p>
    <w:p w14:paraId="7F1E1A7A" w14:textId="77777777" w:rsidR="00C014F7" w:rsidRPr="00F846AE" w:rsidRDefault="00C014F7" w:rsidP="00C014F7">
      <w:pPr>
        <w:pStyle w:val="ListParagraph"/>
        <w:numPr>
          <w:ilvl w:val="0"/>
          <w:numId w:val="3"/>
        </w:numPr>
      </w:pPr>
      <w:r w:rsidRPr="00F846AE">
        <w:t>Wild blueberries are harvested commercially only in the northeaste</w:t>
      </w:r>
      <w:r>
        <w:t>r</w:t>
      </w:r>
      <w:r w:rsidRPr="00F846AE">
        <w:t>n North America whereas regular blueberries are grown commercially throughout the world.</w:t>
      </w:r>
    </w:p>
    <w:p w14:paraId="40EAABD6" w14:textId="77777777" w:rsidR="00C014F7" w:rsidRPr="00F846AE" w:rsidRDefault="00C014F7" w:rsidP="00C014F7">
      <w:pPr>
        <w:pStyle w:val="ListParagraph"/>
        <w:numPr>
          <w:ilvl w:val="0"/>
          <w:numId w:val="1"/>
        </w:numPr>
      </w:pPr>
      <w:r w:rsidRPr="00F846AE">
        <w:t xml:space="preserve">Comparison of Wild and regular highbush blueberries see </w:t>
      </w:r>
      <w:r w:rsidRPr="00F846AE">
        <w:fldChar w:fldCharType="begin" w:fldLock="1"/>
      </w:r>
      <w:r w:rsidRPr="00F846AE">
        <w:instrText>ADDIN CSL_CITATION {"citationItems":[{"id":"ITEM-1","itemData":{"DOI":"10.1021/jf010653e","ISBN":"0021-8561","ISSN":"00218561","PMID":"11600018","abstract":"Recent interest in the possible protective effects of dietary antioxidant compounds against human degenerative disease has prompted investigation of foods such as blueberries (Vaccinium sp.), which have a high antioxidant capacity. Fruit obtained from genotypes of highbush blueberries (Vaccinium corymbosum L.) and lowbush blueberries (Vaccinium angustifolium Aiton) were analyzed for their antioxidant capacity, their content of anthocyanins, and total phenolic compounds, to evaluate the intraspecific and interspecific variation in these parameters. The method of extraction influenced the composition of fruit extracts; the highest anthocyanin and total phenolic contents and antioxidant capacity were found in extracts obtained using a solvent of acidified aqueous methanol. Regardless of the method, lowbush blueberries were consistently higher in anthocyanins, total phenolics, and antioxidant capacity, compared with highbush blueberries. There was no relationship between fruit size and anthocyanin content in either species.","author":[{"dropping-particle":"","family":"Kalt","given":"W.","non-dropping-particle":"","parse-names":false,"suffix":""},{"dropping-particle":"","family":"Ryan","given":"D.A.J. A J","non-dropping-particle":"","parse-names":false,"suffix":""},{"dropping-particle":"","family":"Duy","given":"J.C. C.","non-dropping-particle":"","parse-names":false,"suffix":""},{"dropping-particle":"","family":"Prior","given":"R.L. L.","non-dropping-particle":"","parse-names":false,"suffix":""},{"dropping-particle":"","family":"Ehlenfeldt","given":"M.K. K.","non-dropping-particle":"","parse-names":false,"suffix":""},{"dropping-particle":"","family":"Kloet","given":"S.P. P.","non-dropping-particle":"Vander","parse-names":false,"suffix":""}],"container-title":"Journal of Agricultural and Food Chemistry","id":"ITEM-1","issue":"10","issued":{"date-parts":[["2001"]]},"page":"4761-4767","title":"Interspecific variation in anthocyanins, phenolics, and antioxidant capacity among genotypes of highbush and lowbush blueberries (Vaccinium section cyanococcus spp.)","type":"article-journal","volume":"49"},"uris":["http://www.mendeley.com/documents/?uuid=379fcfe3-2c61-4bc1-917a-620de0817014"]}],"mendeley":{"formattedCitation":"[3]","plainTextFormattedCitation":"[3]","previouslyFormattedCitation":"[3]"},"properties":{"noteIndex":0},"schema":"https://github.com/citation-style-language/schema/raw/master/csl-citation.json"}</w:instrText>
      </w:r>
      <w:r w:rsidRPr="00F846AE">
        <w:fldChar w:fldCharType="separate"/>
      </w:r>
      <w:r w:rsidRPr="00F846AE">
        <w:rPr>
          <w:noProof/>
        </w:rPr>
        <w:t>[3]</w:t>
      </w:r>
      <w:r w:rsidRPr="00F846AE">
        <w:fldChar w:fldCharType="end"/>
      </w:r>
    </w:p>
    <w:p w14:paraId="790B25D5" w14:textId="77777777" w:rsidR="001B28E7" w:rsidRDefault="001B28E7">
      <w:pPr>
        <w:pStyle w:val="BodyText"/>
        <w:rPr>
          <w:rFonts w:ascii="Times New Roman"/>
          <w:sz w:val="20"/>
        </w:rPr>
      </w:pPr>
    </w:p>
    <w:p w14:paraId="02C45A87" w14:textId="77777777" w:rsidR="00C014F7" w:rsidRPr="00F846AE" w:rsidRDefault="00C014F7" w:rsidP="00C014F7">
      <w:pPr>
        <w:pStyle w:val="Heading1"/>
        <w:rPr>
          <w:b/>
          <w:bCs/>
          <w:sz w:val="28"/>
          <w:szCs w:val="28"/>
        </w:rPr>
      </w:pPr>
      <w:r w:rsidRPr="00F846AE">
        <w:rPr>
          <w:b/>
          <w:bCs/>
          <w:sz w:val="28"/>
          <w:szCs w:val="28"/>
        </w:rPr>
        <w:t xml:space="preserve">About WBANA’s Wild Blueberry Powder for Research Use </w:t>
      </w:r>
    </w:p>
    <w:p w14:paraId="41D1AC22" w14:textId="77777777" w:rsidR="00C014F7" w:rsidRPr="00F846AE" w:rsidRDefault="00C014F7" w:rsidP="00C014F7">
      <w:pPr>
        <w:pStyle w:val="ListParagraph"/>
        <w:numPr>
          <w:ilvl w:val="0"/>
          <w:numId w:val="1"/>
        </w:numPr>
      </w:pPr>
      <w:r w:rsidRPr="00F846AE">
        <w:t>Whole wild blueberries are collected from the major production regions and blended in proportion to each region’s total production.</w:t>
      </w:r>
    </w:p>
    <w:p w14:paraId="6B4C3B9C" w14:textId="77777777" w:rsidR="00C014F7" w:rsidRDefault="00C014F7" w:rsidP="00C014F7">
      <w:pPr>
        <w:pStyle w:val="ListParagraph"/>
        <w:numPr>
          <w:ilvl w:val="0"/>
          <w:numId w:val="1"/>
        </w:numPr>
      </w:pPr>
      <w:r w:rsidRPr="00F846AE">
        <w:t>Mixture of whole wild blueberries (including peel, seed, and flesh) are freeze dried and milled into a powder.</w:t>
      </w:r>
    </w:p>
    <w:p w14:paraId="67CAFA5A" w14:textId="2AF7462F" w:rsidR="00C014F7" w:rsidRPr="00C014F7" w:rsidRDefault="00C014F7" w:rsidP="00C014F7">
      <w:pPr>
        <w:pStyle w:val="ListParagraph"/>
        <w:numPr>
          <w:ilvl w:val="0"/>
          <w:numId w:val="1"/>
        </w:numPr>
      </w:pPr>
      <w:r w:rsidRPr="00F846AE">
        <w:t xml:space="preserve">Silica dioxide (1%) is added to prevent clumping of the berry powder. </w:t>
      </w:r>
    </w:p>
    <w:p w14:paraId="3BB75397" w14:textId="6CA0A144" w:rsidR="001B28E7" w:rsidRPr="00C014F7" w:rsidRDefault="00C014F7" w:rsidP="00C014F7">
      <w:pPr>
        <w:pStyle w:val="ListParagraph"/>
        <w:numPr>
          <w:ilvl w:val="0"/>
          <w:numId w:val="1"/>
        </w:numPr>
        <w:rPr>
          <w:rFonts w:eastAsia="Times New Roman" w:cstheme="minorHAnsi"/>
          <w:lang w:val="en-CA"/>
        </w:rPr>
      </w:pPr>
      <w:r w:rsidRPr="00F846AE">
        <w:rPr>
          <w:rFonts w:eastAsia="Times New Roman" w:cstheme="minorHAnsi"/>
          <w:color w:val="000000"/>
          <w:lang w:val="en-CA"/>
        </w:rPr>
        <w:t>Freeze drying and bulk packaging of current batch of powder was completed by Mercer Foods, LLC 1836 Lapham Drive Modesto, CA 9535</w:t>
      </w:r>
      <w:r>
        <w:rPr>
          <w:rFonts w:eastAsia="Times New Roman" w:cstheme="minorHAnsi"/>
          <w:color w:val="000000"/>
          <w:lang w:val="en-CA"/>
        </w:rPr>
        <w:t>.</w:t>
      </w:r>
    </w:p>
    <w:p w14:paraId="1220EBDF" w14:textId="77777777" w:rsidR="00C014F7" w:rsidRPr="00F846AE" w:rsidRDefault="00C014F7" w:rsidP="00C014F7">
      <w:pPr>
        <w:pStyle w:val="Heading1"/>
        <w:rPr>
          <w:b/>
          <w:bCs/>
          <w:sz w:val="28"/>
          <w:szCs w:val="28"/>
        </w:rPr>
      </w:pPr>
      <w:r w:rsidRPr="00F846AE">
        <w:rPr>
          <w:b/>
          <w:bCs/>
          <w:sz w:val="28"/>
          <w:szCs w:val="28"/>
        </w:rPr>
        <w:t xml:space="preserve">Information Specific to WBANA’s Current Wild Blueberry Powder </w:t>
      </w:r>
    </w:p>
    <w:p w14:paraId="140597F1" w14:textId="4FF6CA6F" w:rsidR="00C014F7" w:rsidRPr="00F846AE" w:rsidRDefault="00A85867" w:rsidP="00C014F7">
      <w:pPr>
        <w:pStyle w:val="ListParagraph"/>
        <w:numPr>
          <w:ilvl w:val="0"/>
          <w:numId w:val="4"/>
        </w:numPr>
      </w:pPr>
      <w:r>
        <w:t>Currently in production</w:t>
      </w:r>
      <w:r w:rsidR="00C014F7" w:rsidRPr="00F846AE">
        <w:t xml:space="preserve">; Certificate of Analysis </w:t>
      </w:r>
      <w:r>
        <w:t xml:space="preserve">will be </w:t>
      </w:r>
      <w:r w:rsidR="00C014F7" w:rsidRPr="00F846AE">
        <w:t xml:space="preserve">available </w:t>
      </w:r>
    </w:p>
    <w:p w14:paraId="35A2A86E" w14:textId="6D20E3EF" w:rsidR="00C014F7" w:rsidRPr="00F846AE" w:rsidRDefault="00C014F7" w:rsidP="00C014F7">
      <w:pPr>
        <w:pStyle w:val="ListParagraph"/>
        <w:numPr>
          <w:ilvl w:val="0"/>
          <w:numId w:val="1"/>
        </w:numPr>
      </w:pPr>
      <w:r w:rsidRPr="00F846AE">
        <w:t>Percent moisture at time of production</w:t>
      </w:r>
      <w:r w:rsidRPr="00F846AE">
        <w:rPr>
          <w:color w:val="000000" w:themeColor="text1"/>
        </w:rPr>
        <w:t xml:space="preserve">:  </w:t>
      </w:r>
      <w:r w:rsidR="00A85867">
        <w:rPr>
          <w:color w:val="000000" w:themeColor="text1"/>
        </w:rPr>
        <w:t xml:space="preserve">typically </w:t>
      </w:r>
      <w:r w:rsidRPr="00F846AE">
        <w:rPr>
          <w:color w:val="000000" w:themeColor="text1"/>
        </w:rPr>
        <w:t xml:space="preserve">4% or below </w:t>
      </w:r>
    </w:p>
    <w:p w14:paraId="030EA166" w14:textId="77777777" w:rsidR="001B28E7" w:rsidRDefault="001B28E7">
      <w:pPr>
        <w:pStyle w:val="BodyText"/>
        <w:rPr>
          <w:rFonts w:ascii="Times New Roman"/>
          <w:sz w:val="20"/>
        </w:rPr>
      </w:pPr>
    </w:p>
    <w:p w14:paraId="63527BDA" w14:textId="77777777" w:rsidR="001B28E7" w:rsidRDefault="001B28E7">
      <w:pPr>
        <w:pStyle w:val="BodyText"/>
        <w:rPr>
          <w:rFonts w:ascii="Times New Roman"/>
          <w:sz w:val="20"/>
        </w:rPr>
      </w:pPr>
    </w:p>
    <w:p w14:paraId="6E664412" w14:textId="77777777" w:rsidR="001B28E7" w:rsidRDefault="001B28E7">
      <w:pPr>
        <w:pStyle w:val="BodyText"/>
        <w:rPr>
          <w:rFonts w:ascii="Times New Roman"/>
          <w:sz w:val="20"/>
        </w:rPr>
      </w:pPr>
    </w:p>
    <w:p w14:paraId="644E4A44" w14:textId="77777777" w:rsidR="001B28E7" w:rsidRDefault="001B28E7">
      <w:pPr>
        <w:pStyle w:val="BodyText"/>
        <w:rPr>
          <w:rFonts w:ascii="Times New Roman"/>
          <w:sz w:val="20"/>
        </w:rPr>
      </w:pPr>
    </w:p>
    <w:p w14:paraId="2A8409EA" w14:textId="77777777" w:rsidR="001B28E7" w:rsidRDefault="001B28E7">
      <w:pPr>
        <w:pStyle w:val="BodyText"/>
        <w:rPr>
          <w:rFonts w:ascii="Times New Roman"/>
          <w:sz w:val="20"/>
        </w:rPr>
      </w:pPr>
    </w:p>
    <w:p w14:paraId="267D2F79" w14:textId="77777777" w:rsidR="001B28E7" w:rsidRDefault="001B28E7">
      <w:pPr>
        <w:pStyle w:val="BodyText"/>
        <w:rPr>
          <w:rFonts w:ascii="Times New Roman"/>
          <w:sz w:val="20"/>
        </w:rPr>
      </w:pPr>
    </w:p>
    <w:p w14:paraId="2B930A27" w14:textId="77777777" w:rsidR="001B28E7" w:rsidRDefault="001B28E7">
      <w:pPr>
        <w:pStyle w:val="BodyText"/>
        <w:rPr>
          <w:rFonts w:ascii="Times New Roman"/>
          <w:sz w:val="20"/>
        </w:rPr>
      </w:pPr>
    </w:p>
    <w:p w14:paraId="42F941CD" w14:textId="77777777" w:rsidR="001B28E7" w:rsidRDefault="001B28E7">
      <w:pPr>
        <w:pStyle w:val="BodyText"/>
        <w:rPr>
          <w:rFonts w:ascii="Times New Roman"/>
          <w:sz w:val="20"/>
        </w:rPr>
      </w:pPr>
    </w:p>
    <w:p w14:paraId="6B1174A6" w14:textId="51054B31" w:rsidR="00DC56D9" w:rsidRPr="00F846AE" w:rsidRDefault="00DC56D9" w:rsidP="00DC56D9">
      <w:pPr>
        <w:pStyle w:val="ListParagraph"/>
        <w:numPr>
          <w:ilvl w:val="0"/>
          <w:numId w:val="1"/>
        </w:numPr>
      </w:pPr>
      <w:r w:rsidRPr="00F846AE">
        <w:t xml:space="preserve">Powder </w:t>
      </w:r>
      <w:r w:rsidR="00A85867">
        <w:t>is</w:t>
      </w:r>
      <w:r w:rsidRPr="00F846AE">
        <w:t xml:space="preserve"> tested for microbiological safety and for human allergens </w:t>
      </w:r>
      <w:r>
        <w:t>(allergen statement available)</w:t>
      </w:r>
    </w:p>
    <w:p w14:paraId="17B4F646" w14:textId="77777777" w:rsidR="00DC56D9" w:rsidRPr="00F846AE" w:rsidRDefault="00DC56D9" w:rsidP="00DC56D9">
      <w:pPr>
        <w:pStyle w:val="ListParagraph"/>
        <w:numPr>
          <w:ilvl w:val="0"/>
          <w:numId w:val="1"/>
        </w:numPr>
      </w:pPr>
      <w:r w:rsidRPr="00F846AE">
        <w:t xml:space="preserve">Recommended handling – avoid moisture, keep sealed and store in freezer (sub-zero recommended) until needed. </w:t>
      </w:r>
    </w:p>
    <w:p w14:paraId="1458998C" w14:textId="77777777" w:rsidR="00DC56D9" w:rsidRPr="00F846AE" w:rsidRDefault="00DC56D9" w:rsidP="00DC56D9">
      <w:pPr>
        <w:pStyle w:val="ListParagraph"/>
        <w:numPr>
          <w:ilvl w:val="0"/>
          <w:numId w:val="1"/>
        </w:numPr>
      </w:pPr>
      <w:r w:rsidRPr="00F846AE">
        <w:t>Methods for Analysis of total phenolic and anthocyanins</w:t>
      </w:r>
    </w:p>
    <w:p w14:paraId="26075997" w14:textId="77777777" w:rsidR="00DC56D9" w:rsidRPr="00F846AE" w:rsidRDefault="00DC56D9" w:rsidP="00DC56D9">
      <w:pPr>
        <w:pStyle w:val="ListParagraph"/>
        <w:numPr>
          <w:ilvl w:val="1"/>
          <w:numId w:val="1"/>
        </w:numPr>
      </w:pPr>
      <w:r w:rsidRPr="00F846AE">
        <w:t xml:space="preserve">Anthocyanins </w:t>
      </w:r>
      <w:r w:rsidRPr="00F846AE">
        <w:fldChar w:fldCharType="begin" w:fldLock="1"/>
      </w:r>
      <w:r w:rsidRPr="00F846AE">
        <w:instrText>ADDIN CSL_CITATION {"citationItems":[{"id":"ITEM-1","itemData":{"DOI":"https://doi.org/10.1016/j.tifs.2005.03.019","ISSN":"0924-2244","abstract":"Anthocyanin pigments readily degrade during processing and storage of foodstuffs, which can have a dramatic impact on color quality and may also affect nutritional properties. Total anthocyanin pigment content and indices for polymeric color and browning are easily measured with simple spectrophotometric methods. Once individual pigments are identified, their changes can be monitored by high-performance liquid chromatography (HPLC). Modern color instrumentation has made measurement of CIEL*a*b* indices practical and easy. Indices of lightness (L*), chroma (C*), and hue angle (h°) are particularly useful for tracking color change.","author":[{"dropping-particle":"","family":"Wrolstad","given":"Ronald E","non-dropping-particle":"","parse-names":false,"suffix":""},{"dropping-particle":"","family":"Durst","given":"Robert W","non-dropping-particle":"","parse-names":false,"suffix":""},{"dropping-particle":"","family":"Lee","given":"Jungmin","non-dropping-particle":"","parse-names":false,"suffix":""}],"container-title":"Trends in Food Science &amp; Technology","id":"ITEM-1","issue":"9","issued":{"date-parts":[["2005"]]},"note":"Pigments in Food","page":"423-428","title":"Tracking color and pigment changes in anthocyanin products","type":"article-journal","volume":"16"},"uris":["http://www.mendeley.com/documents/?uuid=1fbf224c-5e18-44ba-abe9-88de95f8b1c6"]}],"mendeley":{"formattedCitation":"[1]","plainTextFormattedCitation":"[1]","previouslyFormattedCitation":"[1]"},"properties":{"noteIndex":0},"schema":"https://github.com/citation-style-language/schema/raw/master/csl-citation.json"}</w:instrText>
      </w:r>
      <w:r w:rsidRPr="00F846AE">
        <w:fldChar w:fldCharType="separate"/>
      </w:r>
      <w:r w:rsidRPr="00F846AE">
        <w:rPr>
          <w:noProof/>
        </w:rPr>
        <w:t>[1]</w:t>
      </w:r>
      <w:r w:rsidRPr="00F846AE">
        <w:fldChar w:fldCharType="end"/>
      </w:r>
    </w:p>
    <w:p w14:paraId="0304C582" w14:textId="77777777" w:rsidR="00DC56D9" w:rsidRPr="00F846AE" w:rsidRDefault="00DC56D9" w:rsidP="00DC56D9">
      <w:pPr>
        <w:pStyle w:val="ListParagraph"/>
        <w:numPr>
          <w:ilvl w:val="1"/>
          <w:numId w:val="1"/>
        </w:numPr>
      </w:pPr>
      <w:r w:rsidRPr="00F846AE">
        <w:t xml:space="preserve">Total Phenolics </w:t>
      </w:r>
      <w:r w:rsidRPr="00F846AE">
        <w:fldChar w:fldCharType="begin" w:fldLock="1"/>
      </w:r>
      <w:r w:rsidRPr="00F846AE">
        <w:instrText>ADDIN CSL_CITATION {"citationItems":[{"id":"ITEM-1","itemData":{"ISSN":"0002-9254","abstract":"Several details of the assay of total phenolic substances have been investigated and an improved procedure developed. The improvements include the use of Folin-Ciocalteu reagent rather than the Folin-Denis reagent, gallic acid as a reference standard, and a more reproducible time-temperature color development period. The values obtained are less subject to variation and interference from several nonphenols, yet are directly comparable to the \"tannin\" values obtained by the previously standard method.","author":[{"dropping-particle":"","family":"Singleton","given":"V L","non-dropping-particle":"","parse-names":false,"suffix":""},{"dropping-particle":"","family":"Rossi","given":"Joseph A","non-dropping-particle":"","parse-names":false,"suffix":""}],"container-title":"American Journal of Enology and Viticulture","id":"ITEM-1","issue":"3","issued":{"date-parts":[["1965"]]},"page":"144-158","publisher":"American Journal of Enology and Viticulture","title":"Colorimetry of Total Phenolics with Phosphomolybdic-Phosphotungstic Acid Reagents","type":"article-journal","volume":"16"},"uris":["http://www.mendeley.com/documents/?uuid=1964b1a8-dc44-48d8-a6b2-e9def0bb95c7"]}],"mendeley":{"formattedCitation":"[2]","plainTextFormattedCitation":"[2]","previouslyFormattedCitation":"[2]"},"properties":{"noteIndex":0},"schema":"https://github.com/citation-style-language/schema/raw/master/csl-citation.json"}</w:instrText>
      </w:r>
      <w:r w:rsidRPr="00F846AE">
        <w:fldChar w:fldCharType="separate"/>
      </w:r>
      <w:r w:rsidRPr="00F846AE">
        <w:rPr>
          <w:noProof/>
        </w:rPr>
        <w:t>[2]</w:t>
      </w:r>
      <w:r w:rsidRPr="00F846AE">
        <w:fldChar w:fldCharType="end"/>
      </w:r>
    </w:p>
    <w:p w14:paraId="6919C2EC" w14:textId="77777777" w:rsidR="00DC56D9" w:rsidRPr="00F846AE" w:rsidRDefault="00DC56D9" w:rsidP="00DC56D9">
      <w:pPr>
        <w:pStyle w:val="ListParagraph"/>
        <w:numPr>
          <w:ilvl w:val="0"/>
          <w:numId w:val="1"/>
        </w:numPr>
      </w:pPr>
      <w:r w:rsidRPr="00F846AE">
        <w:t xml:space="preserve">Conversion of mass of dry powder to volume of fresh berries: Assume that fresh blueberries contain 85% water and 15% solids </w:t>
      </w:r>
      <w:r w:rsidRPr="00F846AE">
        <w:fldChar w:fldCharType="begin" w:fldLock="1"/>
      </w:r>
      <w:r w:rsidRPr="00F846AE">
        <w:instrText>ADDIN CSL_CITATION {"citationItems":[{"id":"ITEM-1","itemData":{"DOI":"10.1021/jf010653e","ISBN":"0021-8561","ISSN":"00218561","PMID":"11600018","abstract":"Recent interest in the possible protective effects of dietary antioxidant compounds against human degenerative disease has prompted investigation of foods such as blueberries (Vaccinium sp.), which have a high antioxidant capacity. Fruit obtained from genotypes of highbush blueberries (Vaccinium corymbosum L.) and lowbush blueberries (Vaccinium angustifolium Aiton) were analyzed for their antioxidant capacity, their content of anthocyanins, and total phenolic compounds, to evaluate the intraspecific and interspecific variation in these parameters. The method of extraction influenced the composition of fruit extracts; the highest anthocyanin and total phenolic contents and antioxidant capacity were found in extracts obtained using a solvent of acidified aqueous methanol. Regardless of the method, lowbush blueberries were consistently higher in anthocyanins, total phenolics, and antioxidant capacity, compared with highbush blueberries. There was no relationship between fruit size and anthocyanin content in either species.","author":[{"dropping-particle":"","family":"Kalt","given":"W.","non-dropping-particle":"","parse-names":false,"suffix":""},{"dropping-particle":"","family":"Ryan","given":"D.A.J. A J","non-dropping-particle":"","parse-names":false,"suffix":""},{"dropping-particle":"","family":"Duy","given":"J.C. C.","non-dropping-particle":"","parse-names":false,"suffix":""},{"dropping-particle":"","family":"Prior","given":"R.L. L.","non-dropping-particle":"","parse-names":false,"suffix":""},{"dropping-particle":"","family":"Ehlenfeldt","given":"M.K. K.","non-dropping-particle":"","parse-names":false,"suffix":""},{"dropping-particle":"","family":"Kloet","given":"S.P. P.","non-dropping-particle":"Vander","parse-names":false,"suffix":""}],"container-title":"Journal of Agricultural and Food Chemistry","id":"ITEM-1","issue":"10","issued":{"date-parts":[["2001"]]},"page":"4761-4767","title":"Interspecific variation in anthocyanins, phenolics, and antioxidant capacity among genotypes of highbush and lowbush blueberries (Vaccinium section cyanococcus spp.)","type":"article-journal","volume":"49"},"uris":["http://www.mendeley.com/documents/?uuid=379fcfe3-2c61-4bc1-917a-620de0817014"]}],"mendeley":{"formattedCitation":"[3]","plainTextFormattedCitation":"[3]","previouslyFormattedCitation":"[3]"},"properties":{"noteIndex":0},"schema":"https://github.com/citation-style-language/schema/raw/master/csl-citation.json"}</w:instrText>
      </w:r>
      <w:r w:rsidRPr="00F846AE">
        <w:fldChar w:fldCharType="separate"/>
      </w:r>
      <w:r w:rsidRPr="00F846AE">
        <w:rPr>
          <w:noProof/>
        </w:rPr>
        <w:t>[3]</w:t>
      </w:r>
      <w:r w:rsidRPr="00F846AE">
        <w:fldChar w:fldCharType="end"/>
      </w:r>
      <w:r w:rsidRPr="00F846AE">
        <w:t xml:space="preserve">. Average size of fresh Wild blueberry fruit are between 0.15g and 0.3 g per berry </w:t>
      </w:r>
      <w:r w:rsidRPr="00F846AE">
        <w:fldChar w:fldCharType="begin" w:fldLock="1"/>
      </w:r>
      <w:r w:rsidRPr="00F846AE">
        <w:instrText>ADDIN CSL_CITATION {"citationItems":[{"id":"ITEM-1","itemData":{"DOI":"10.1021/jf010653e","ISBN":"0021-8561","ISSN":"00218561","PMID":"11600018","abstract":"Recent interest in the possible protective effects of dietary antioxidant compounds against human degenerative disease has prompted investigation of foods such as blueberries (Vaccinium sp.), which have a high antioxidant capacity. Fruit obtained from genotypes of highbush blueberries (Vaccinium corymbosum L.) and lowbush blueberries (Vaccinium angustifolium Aiton) were analyzed for their antioxidant capacity, their content of anthocyanins, and total phenolic compounds, to evaluate the intraspecific and interspecific variation in these parameters. The method of extraction influenced the composition of fruit extracts; the highest anthocyanin and total phenolic contents and antioxidant capacity were found in extracts obtained using a solvent of acidified aqueous methanol. Regardless of the method, lowbush blueberries were consistently higher in anthocyanins, total phenolics, and antioxidant capacity, compared with highbush blueberries. There was no relationship between fruit size and anthocyanin content in either species.","author":[{"dropping-particle":"","family":"Kalt","given":"W.","non-dropping-particle":"","parse-names":false,"suffix":""},{"dropping-particle":"","family":"Ryan","given":"D.A.J. A J","non-dropping-particle":"","parse-names":false,"suffix":""},{"dropping-particle":"","family":"Duy","given":"J.C. C.","non-dropping-particle":"","parse-names":false,"suffix":""},{"dropping-particle":"","family":"Prior","given":"R.L. L.","non-dropping-particle":"","parse-names":false,"suffix":""},{"dropping-particle":"","family":"Ehlenfeldt","given":"M.K. K.","non-dropping-particle":"","parse-names":false,"suffix":""},{"dropping-particle":"","family":"Kloet","given":"S.P. P.","non-dropping-particle":"Vander","parse-names":false,"suffix":""}],"container-title":"Journal of Agricultural and Food Chemistry","id":"ITEM-1","issue":"10","issued":{"date-parts":[["2001"]]},"page":"4761-4767","title":"Interspecific variation in anthocyanins, phenolics, and antioxidant capacity among genotypes of highbush and lowbush blueberries (Vaccinium section cyanococcus spp.)","type":"article-journal","volume":"49"},"uris":["http://www.mendeley.com/documents/?uuid=379fcfe3-2c61-4bc1-917a-620de0817014"]}],"mendeley":{"formattedCitation":"[3]","plainTextFormattedCitation":"[3]","previouslyFormattedCitation":"[3]"},"properties":{"noteIndex":0},"schema":"https://github.com/citation-style-language/schema/raw/master/csl-citation.json"}</w:instrText>
      </w:r>
      <w:r w:rsidRPr="00F846AE">
        <w:fldChar w:fldCharType="separate"/>
      </w:r>
      <w:r w:rsidRPr="00F846AE">
        <w:rPr>
          <w:noProof/>
        </w:rPr>
        <w:t>[3]</w:t>
      </w:r>
      <w:r w:rsidRPr="00F846AE">
        <w:fldChar w:fldCharType="end"/>
      </w:r>
      <w:r w:rsidRPr="00F846AE">
        <w:t>. One cup of Wild Blueberries weighs about 120 g.</w:t>
      </w:r>
    </w:p>
    <w:p w14:paraId="1C57C882" w14:textId="62112947" w:rsidR="00DC56D9" w:rsidRPr="00F846AE" w:rsidRDefault="00DC56D9" w:rsidP="00DC56D9">
      <w:pPr>
        <w:pStyle w:val="ListParagraph"/>
        <w:numPr>
          <w:ilvl w:val="0"/>
          <w:numId w:val="1"/>
        </w:numPr>
      </w:pPr>
      <w:r w:rsidRPr="00F846AE">
        <w:t xml:space="preserve">The dry-down ratio information for the </w:t>
      </w:r>
      <w:r w:rsidR="00A85867">
        <w:t xml:space="preserve">previous </w:t>
      </w:r>
      <w:r w:rsidRPr="00F846AE">
        <w:t>batch of powder:</w:t>
      </w:r>
    </w:p>
    <w:p w14:paraId="6EB3D580" w14:textId="77777777" w:rsidR="00DC56D9" w:rsidRPr="00F846AE" w:rsidRDefault="00DC56D9" w:rsidP="00DC56D9">
      <w:pPr>
        <w:pStyle w:val="ListParagraph"/>
        <w:numPr>
          <w:ilvl w:val="1"/>
          <w:numId w:val="1"/>
        </w:numPr>
      </w:pPr>
      <w:r w:rsidRPr="00F846AE">
        <w:t xml:space="preserve">14.6% FD yield (indicates 14.6g freeze-dried blueberry powder obtained from 100g fruit). Hence the dry down will be 100/14.6 = 6.849. </w:t>
      </w:r>
    </w:p>
    <w:p w14:paraId="6F5E21D2" w14:textId="3920C0B6" w:rsidR="001B28E7" w:rsidRPr="009E2DF9" w:rsidRDefault="00DC56D9" w:rsidP="009E2DF9">
      <w:pPr>
        <w:pStyle w:val="ListParagraph"/>
        <w:numPr>
          <w:ilvl w:val="1"/>
          <w:numId w:val="1"/>
        </w:numPr>
      </w:pPr>
      <w:r w:rsidRPr="00F846AE">
        <w:t>Ratio of fresh/frozen blueberry to FD blueberry powder = 6.849:1. So, 1 g FD powder is equivalent to 6.849 g of fresh/frozen WB for th</w:t>
      </w:r>
      <w:r w:rsidR="00A85867">
        <w:t>e previous</w:t>
      </w:r>
      <w:r w:rsidRPr="00F846AE">
        <w:t xml:space="preserve"> batch.</w:t>
      </w:r>
    </w:p>
    <w:p w14:paraId="7A6776AD" w14:textId="77777777" w:rsidR="00DC56D9" w:rsidRPr="00F846AE" w:rsidRDefault="00DC56D9" w:rsidP="00DC56D9">
      <w:pPr>
        <w:pStyle w:val="Heading1"/>
        <w:rPr>
          <w:b/>
          <w:bCs/>
          <w:sz w:val="28"/>
          <w:szCs w:val="28"/>
        </w:rPr>
      </w:pPr>
      <w:r w:rsidRPr="00F846AE">
        <w:rPr>
          <w:b/>
          <w:bCs/>
          <w:sz w:val="28"/>
          <w:szCs w:val="28"/>
        </w:rPr>
        <w:t>Acknowledging WBANA</w:t>
      </w:r>
    </w:p>
    <w:p w14:paraId="6E40D04B" w14:textId="6C1A88F0" w:rsidR="00DC56D9" w:rsidRPr="00F846AE" w:rsidRDefault="00DC56D9" w:rsidP="00DC56D9">
      <w:pPr>
        <w:pStyle w:val="ListParagraph"/>
        <w:numPr>
          <w:ilvl w:val="0"/>
          <w:numId w:val="5"/>
        </w:numPr>
      </w:pPr>
      <w:r w:rsidRPr="00F846AE">
        <w:t xml:space="preserve">If you are using Wild Blueberries, Wild Blueberry powder or placebo provided by WBANA in your project, we </w:t>
      </w:r>
      <w:r w:rsidR="00A85867">
        <w:t xml:space="preserve">request that you refer </w:t>
      </w:r>
      <w:r w:rsidRPr="00F846AE">
        <w:t xml:space="preserve">to </w:t>
      </w:r>
      <w:r w:rsidR="00A85867">
        <w:t xml:space="preserve">the product </w:t>
      </w:r>
      <w:r w:rsidRPr="00F846AE">
        <w:t>as “wild blueberry” in your published work/</w:t>
      </w:r>
      <w:r w:rsidR="00A85867">
        <w:t>project—</w:t>
      </w:r>
      <w:r w:rsidR="00A85867" w:rsidRPr="00A85867">
        <w:rPr>
          <w:i/>
          <w:iCs/>
        </w:rPr>
        <w:t>including in the title</w:t>
      </w:r>
      <w:r w:rsidR="00A85867">
        <w:t xml:space="preserve"> and the title of any published papers related to the project. </w:t>
      </w:r>
    </w:p>
    <w:p w14:paraId="23936760" w14:textId="050FBD88" w:rsidR="00DC56D9" w:rsidRPr="009E2DF9" w:rsidRDefault="00DC56D9" w:rsidP="009E2DF9">
      <w:pPr>
        <w:pStyle w:val="ListParagraph"/>
        <w:numPr>
          <w:ilvl w:val="0"/>
          <w:numId w:val="5"/>
        </w:numPr>
      </w:pPr>
      <w:r w:rsidRPr="00F846AE">
        <w:t xml:space="preserve">Acknowledgement of research support from WBANA can be identified with the following information: </w:t>
      </w:r>
      <w:r w:rsidRPr="009E2DF9">
        <w:rPr>
          <w:rFonts w:eastAsia="Times New Roman" w:cstheme="minorHAnsi"/>
          <w:color w:val="000000"/>
          <w:lang w:val="en-CA"/>
        </w:rPr>
        <w:t>Wild Blueberry Association of North America, Old Town, Maine 04468 USA</w:t>
      </w:r>
    </w:p>
    <w:p w14:paraId="68F192CF" w14:textId="77777777" w:rsidR="00DC56D9" w:rsidRPr="00537723" w:rsidRDefault="00DC56D9" w:rsidP="00DC56D9">
      <w:pPr>
        <w:pStyle w:val="ListParagraph"/>
        <w:numPr>
          <w:ilvl w:val="0"/>
          <w:numId w:val="5"/>
        </w:numPr>
        <w:rPr>
          <w:rFonts w:eastAsia="Times New Roman" w:cstheme="minorHAnsi"/>
          <w:color w:val="000000"/>
          <w:lang w:val="en-CA"/>
        </w:rPr>
      </w:pPr>
      <w:r w:rsidRPr="00F846AE">
        <w:rPr>
          <w:rFonts w:eastAsia="Times New Roman" w:cstheme="minorHAnsi"/>
          <w:color w:val="000000"/>
          <w:lang w:val="en-CA"/>
        </w:rPr>
        <w:t>The current WBANA logo</w:t>
      </w:r>
      <w:r>
        <w:rPr>
          <w:rFonts w:eastAsia="Times New Roman" w:cstheme="minorHAnsi"/>
          <w:color w:val="000000"/>
          <w:lang w:val="en-CA"/>
        </w:rPr>
        <w:t xml:space="preserve"> jpg is at the top of this document</w:t>
      </w:r>
      <w:r w:rsidRPr="00F846AE">
        <w:rPr>
          <w:rFonts w:eastAsia="Times New Roman" w:cstheme="minorHAnsi"/>
          <w:color w:val="000000"/>
          <w:lang w:val="en-CA"/>
        </w:rPr>
        <w:t>; other formats can be requested.</w:t>
      </w:r>
    </w:p>
    <w:p w14:paraId="1699ED3D" w14:textId="77777777" w:rsidR="00DC56D9" w:rsidRDefault="00DC56D9" w:rsidP="00DC56D9">
      <w:pPr>
        <w:pStyle w:val="Heading1"/>
        <w:rPr>
          <w:sz w:val="40"/>
          <w:szCs w:val="40"/>
        </w:rPr>
      </w:pPr>
      <w:r w:rsidRPr="00F846AE">
        <w:rPr>
          <w:b/>
          <w:bCs/>
          <w:sz w:val="28"/>
          <w:szCs w:val="28"/>
        </w:rPr>
        <w:t xml:space="preserve">Literature Cited </w:t>
      </w:r>
    </w:p>
    <w:p w14:paraId="2A2EEF10" w14:textId="77777777" w:rsidR="00DC56D9" w:rsidRPr="009E2DF9" w:rsidRDefault="00DC56D9" w:rsidP="00DC56D9">
      <w:pPr>
        <w:adjustRightInd w:val="0"/>
        <w:ind w:left="640" w:hanging="640"/>
        <w:rPr>
          <w:noProof/>
          <w:sz w:val="20"/>
          <w:szCs w:val="20"/>
        </w:rPr>
      </w:pPr>
      <w:r w:rsidRPr="009E2DF9">
        <w:rPr>
          <w:rFonts w:ascii="Calibri" w:hAnsi="Calibri" w:cs="Calibri"/>
          <w:noProof/>
          <w:sz w:val="20"/>
          <w:szCs w:val="20"/>
        </w:rPr>
        <w:t>1.</w:t>
      </w:r>
      <w:r w:rsidRPr="009E2DF9">
        <w:rPr>
          <w:rFonts w:ascii="Calibri" w:hAnsi="Calibri" w:cs="Calibri"/>
          <w:noProof/>
          <w:sz w:val="20"/>
          <w:szCs w:val="20"/>
        </w:rPr>
        <w:tab/>
      </w:r>
      <w:r w:rsidRPr="009E2DF9">
        <w:rPr>
          <w:noProof/>
          <w:sz w:val="20"/>
          <w:szCs w:val="20"/>
        </w:rPr>
        <w:t xml:space="preserve">Wrolstad, R.E.; Durst, R.W.; Lee, J. Tracking color and pigment changes in anthocyanin products. </w:t>
      </w:r>
      <w:r w:rsidRPr="009E2DF9">
        <w:rPr>
          <w:i/>
          <w:iCs/>
          <w:noProof/>
          <w:sz w:val="20"/>
          <w:szCs w:val="20"/>
        </w:rPr>
        <w:t>Trends Food Sci. Technol.</w:t>
      </w:r>
      <w:r w:rsidRPr="009E2DF9">
        <w:rPr>
          <w:noProof/>
          <w:sz w:val="20"/>
          <w:szCs w:val="20"/>
        </w:rPr>
        <w:t xml:space="preserve"> </w:t>
      </w:r>
      <w:r w:rsidRPr="009E2DF9">
        <w:rPr>
          <w:b/>
          <w:bCs/>
          <w:noProof/>
          <w:sz w:val="20"/>
          <w:szCs w:val="20"/>
        </w:rPr>
        <w:t>2005</w:t>
      </w:r>
      <w:r w:rsidRPr="009E2DF9">
        <w:rPr>
          <w:noProof/>
          <w:sz w:val="20"/>
          <w:szCs w:val="20"/>
        </w:rPr>
        <w:t xml:space="preserve">, </w:t>
      </w:r>
      <w:r w:rsidRPr="009E2DF9">
        <w:rPr>
          <w:i/>
          <w:iCs/>
          <w:noProof/>
          <w:sz w:val="20"/>
          <w:szCs w:val="20"/>
        </w:rPr>
        <w:t>16</w:t>
      </w:r>
      <w:r w:rsidRPr="009E2DF9">
        <w:rPr>
          <w:noProof/>
          <w:sz w:val="20"/>
          <w:szCs w:val="20"/>
        </w:rPr>
        <w:t>, 423–428.</w:t>
      </w:r>
    </w:p>
    <w:p w14:paraId="6596119A" w14:textId="77777777" w:rsidR="00DC56D9" w:rsidRPr="009E2DF9" w:rsidRDefault="00DC56D9" w:rsidP="00DC56D9">
      <w:pPr>
        <w:adjustRightInd w:val="0"/>
        <w:ind w:left="640" w:hanging="640"/>
        <w:rPr>
          <w:noProof/>
          <w:sz w:val="20"/>
          <w:szCs w:val="20"/>
        </w:rPr>
      </w:pPr>
      <w:r w:rsidRPr="009E2DF9">
        <w:rPr>
          <w:noProof/>
          <w:sz w:val="20"/>
          <w:szCs w:val="20"/>
        </w:rPr>
        <w:t xml:space="preserve">2. </w:t>
      </w:r>
      <w:r w:rsidRPr="009E2DF9">
        <w:rPr>
          <w:noProof/>
          <w:sz w:val="20"/>
          <w:szCs w:val="20"/>
        </w:rPr>
        <w:tab/>
        <w:t xml:space="preserve">Singleton, V.L.; Rossi, J.A. Colorimetry of Total Phenolics with Phosphomolybdic-Phosphotungstic Acid Reagents. </w:t>
      </w:r>
      <w:r w:rsidRPr="009E2DF9">
        <w:rPr>
          <w:i/>
          <w:iCs/>
          <w:noProof/>
          <w:sz w:val="20"/>
          <w:szCs w:val="20"/>
        </w:rPr>
        <w:t>Am. J. Enol. Vitic.</w:t>
      </w:r>
      <w:r w:rsidRPr="009E2DF9">
        <w:rPr>
          <w:noProof/>
          <w:sz w:val="20"/>
          <w:szCs w:val="20"/>
        </w:rPr>
        <w:t xml:space="preserve"> </w:t>
      </w:r>
      <w:r w:rsidRPr="009E2DF9">
        <w:rPr>
          <w:b/>
          <w:bCs/>
          <w:noProof/>
          <w:sz w:val="20"/>
          <w:szCs w:val="20"/>
        </w:rPr>
        <w:t>1965</w:t>
      </w:r>
      <w:r w:rsidRPr="009E2DF9">
        <w:rPr>
          <w:noProof/>
          <w:sz w:val="20"/>
          <w:szCs w:val="20"/>
        </w:rPr>
        <w:t xml:space="preserve">, </w:t>
      </w:r>
      <w:r w:rsidRPr="009E2DF9">
        <w:rPr>
          <w:i/>
          <w:iCs/>
          <w:noProof/>
          <w:sz w:val="20"/>
          <w:szCs w:val="20"/>
        </w:rPr>
        <w:t>16</w:t>
      </w:r>
      <w:r w:rsidRPr="009E2DF9">
        <w:rPr>
          <w:noProof/>
          <w:sz w:val="20"/>
          <w:szCs w:val="20"/>
        </w:rPr>
        <w:t>, 144–158.</w:t>
      </w:r>
    </w:p>
    <w:p w14:paraId="492E2426" w14:textId="77777777" w:rsidR="00DC56D9" w:rsidRPr="009E2DF9" w:rsidRDefault="00DC56D9" w:rsidP="00DC56D9">
      <w:pPr>
        <w:adjustRightInd w:val="0"/>
        <w:ind w:left="640" w:hanging="640"/>
        <w:rPr>
          <w:noProof/>
          <w:sz w:val="20"/>
          <w:szCs w:val="20"/>
        </w:rPr>
      </w:pPr>
      <w:r w:rsidRPr="009E2DF9">
        <w:rPr>
          <w:noProof/>
          <w:sz w:val="20"/>
          <w:szCs w:val="20"/>
        </w:rPr>
        <w:t xml:space="preserve">3. </w:t>
      </w:r>
      <w:r w:rsidRPr="009E2DF9">
        <w:rPr>
          <w:noProof/>
          <w:sz w:val="20"/>
          <w:szCs w:val="20"/>
        </w:rPr>
        <w:tab/>
        <w:t xml:space="preserve">Kalt, W.; Ryan, D.A.J.A.J.; Duy, J.C.C.; Prior, R.L.L.; Ehlenfeldt, M.K.K.; Vander Kloet, S.P.P. Interspecific variation in anthocyanins, phenolics, and antioxidant capacity among genotypes of highbush and lowbush blueberries (Vaccinium section cyanococcus spp.). </w:t>
      </w:r>
      <w:r w:rsidRPr="009E2DF9">
        <w:rPr>
          <w:i/>
          <w:iCs/>
          <w:noProof/>
          <w:sz w:val="20"/>
          <w:szCs w:val="20"/>
        </w:rPr>
        <w:t>J. Agric. Food Chem.</w:t>
      </w:r>
      <w:r w:rsidRPr="009E2DF9">
        <w:rPr>
          <w:noProof/>
          <w:sz w:val="20"/>
          <w:szCs w:val="20"/>
        </w:rPr>
        <w:t xml:space="preserve"> </w:t>
      </w:r>
      <w:r w:rsidRPr="009E2DF9">
        <w:rPr>
          <w:b/>
          <w:bCs/>
          <w:noProof/>
          <w:sz w:val="20"/>
          <w:szCs w:val="20"/>
        </w:rPr>
        <w:t>2001</w:t>
      </w:r>
      <w:r w:rsidRPr="009E2DF9">
        <w:rPr>
          <w:noProof/>
          <w:sz w:val="20"/>
          <w:szCs w:val="20"/>
        </w:rPr>
        <w:t xml:space="preserve">, </w:t>
      </w:r>
      <w:r w:rsidRPr="009E2DF9">
        <w:rPr>
          <w:i/>
          <w:iCs/>
          <w:noProof/>
          <w:sz w:val="20"/>
          <w:szCs w:val="20"/>
        </w:rPr>
        <w:t>49</w:t>
      </w:r>
      <w:r w:rsidRPr="009E2DF9">
        <w:rPr>
          <w:noProof/>
          <w:sz w:val="20"/>
          <w:szCs w:val="20"/>
        </w:rPr>
        <w:t>, 4761–4767.</w:t>
      </w:r>
    </w:p>
    <w:p w14:paraId="0A2DB287" w14:textId="77777777" w:rsidR="00DC56D9" w:rsidRPr="009E2DF9" w:rsidRDefault="00DC56D9" w:rsidP="00DC56D9">
      <w:pPr>
        <w:adjustRightInd w:val="0"/>
        <w:ind w:left="640" w:hanging="640"/>
        <w:rPr>
          <w:noProof/>
          <w:sz w:val="20"/>
          <w:szCs w:val="20"/>
        </w:rPr>
      </w:pPr>
      <w:r w:rsidRPr="009E2DF9">
        <w:rPr>
          <w:noProof/>
          <w:sz w:val="20"/>
          <w:szCs w:val="20"/>
        </w:rPr>
        <w:t xml:space="preserve">4. </w:t>
      </w:r>
      <w:r w:rsidRPr="009E2DF9">
        <w:rPr>
          <w:noProof/>
          <w:sz w:val="20"/>
          <w:szCs w:val="20"/>
        </w:rPr>
        <w:tab/>
        <w:t xml:space="preserve">Kalt, W.; McDonald, J.E. Chemical composition of lowbush blueberry cultivars. </w:t>
      </w:r>
      <w:r w:rsidRPr="009E2DF9">
        <w:rPr>
          <w:i/>
          <w:iCs/>
          <w:noProof/>
          <w:sz w:val="20"/>
          <w:szCs w:val="20"/>
        </w:rPr>
        <w:t>J. Am. Soc. Hortic. Sci.</w:t>
      </w:r>
      <w:r w:rsidRPr="009E2DF9">
        <w:rPr>
          <w:noProof/>
          <w:sz w:val="20"/>
          <w:szCs w:val="20"/>
        </w:rPr>
        <w:t xml:space="preserve"> </w:t>
      </w:r>
      <w:r w:rsidRPr="009E2DF9">
        <w:rPr>
          <w:b/>
          <w:bCs/>
          <w:noProof/>
          <w:sz w:val="20"/>
          <w:szCs w:val="20"/>
        </w:rPr>
        <w:t>1996</w:t>
      </w:r>
      <w:r w:rsidRPr="009E2DF9">
        <w:rPr>
          <w:noProof/>
          <w:sz w:val="20"/>
          <w:szCs w:val="20"/>
        </w:rPr>
        <w:t xml:space="preserve">, </w:t>
      </w:r>
      <w:r w:rsidRPr="009E2DF9">
        <w:rPr>
          <w:i/>
          <w:iCs/>
          <w:noProof/>
          <w:sz w:val="20"/>
          <w:szCs w:val="20"/>
        </w:rPr>
        <w:t>121</w:t>
      </w:r>
      <w:r w:rsidRPr="009E2DF9">
        <w:rPr>
          <w:noProof/>
          <w:sz w:val="20"/>
          <w:szCs w:val="20"/>
        </w:rPr>
        <w:t>, 142–146.</w:t>
      </w:r>
    </w:p>
    <w:p w14:paraId="1626AE07" w14:textId="77777777" w:rsidR="00DC56D9" w:rsidRDefault="00DC56D9" w:rsidP="00DC56D9">
      <w:pPr>
        <w:adjustRightInd w:val="0"/>
        <w:ind w:left="640" w:hanging="640"/>
        <w:rPr>
          <w:rFonts w:ascii="Calibri" w:hAnsi="Calibri" w:cs="Calibri"/>
          <w:noProof/>
        </w:rPr>
      </w:pPr>
    </w:p>
    <w:p w14:paraId="64EEF2DF" w14:textId="77777777" w:rsidR="00DC56D9" w:rsidRDefault="00DC56D9" w:rsidP="00DC56D9"/>
    <w:p w14:paraId="3DE834EC" w14:textId="77777777" w:rsidR="00DC56D9" w:rsidRDefault="00DC56D9" w:rsidP="00DC56D9"/>
    <w:p w14:paraId="10430865" w14:textId="595A03E3" w:rsidR="00DC56D9" w:rsidRPr="00995DA0" w:rsidRDefault="00A85867" w:rsidP="00DC56D9">
      <w:r>
        <w:t>2</w:t>
      </w:r>
      <w:r w:rsidR="00DC56D9">
        <w:t>/202</w:t>
      </w:r>
      <w:r>
        <w:t>4</w:t>
      </w:r>
    </w:p>
    <w:p w14:paraId="1F682BDD" w14:textId="77777777" w:rsidR="00DC56D9" w:rsidRDefault="00DC56D9">
      <w:pPr>
        <w:pStyle w:val="BodyText"/>
        <w:rPr>
          <w:rFonts w:ascii="Times New Roman"/>
          <w:sz w:val="20"/>
        </w:rPr>
      </w:pPr>
    </w:p>
    <w:p w14:paraId="09447904" w14:textId="77777777" w:rsidR="001B28E7" w:rsidRDefault="001B28E7">
      <w:pPr>
        <w:pStyle w:val="BodyText"/>
        <w:rPr>
          <w:rFonts w:ascii="Times New Roman"/>
          <w:sz w:val="20"/>
        </w:rPr>
      </w:pPr>
    </w:p>
    <w:p w14:paraId="22E34E85" w14:textId="77777777" w:rsidR="001B28E7" w:rsidRDefault="001B28E7">
      <w:pPr>
        <w:pStyle w:val="BodyText"/>
        <w:rPr>
          <w:rFonts w:ascii="Times New Roman"/>
          <w:sz w:val="20"/>
        </w:rPr>
      </w:pPr>
    </w:p>
    <w:p w14:paraId="05480369" w14:textId="77777777" w:rsidR="001B28E7" w:rsidRDefault="001B28E7">
      <w:pPr>
        <w:pStyle w:val="BodyText"/>
        <w:rPr>
          <w:rFonts w:ascii="Times New Roman"/>
          <w:sz w:val="20"/>
        </w:rPr>
      </w:pPr>
    </w:p>
    <w:p w14:paraId="36B78460" w14:textId="77777777" w:rsidR="001B28E7" w:rsidRDefault="001B28E7">
      <w:pPr>
        <w:pStyle w:val="BodyText"/>
        <w:rPr>
          <w:rFonts w:ascii="Times New Roman"/>
          <w:sz w:val="20"/>
        </w:rPr>
      </w:pPr>
    </w:p>
    <w:p w14:paraId="395E1750" w14:textId="77777777" w:rsidR="001B28E7" w:rsidRDefault="001B28E7">
      <w:pPr>
        <w:pStyle w:val="BodyText"/>
        <w:rPr>
          <w:rFonts w:ascii="Times New Roman"/>
          <w:sz w:val="20"/>
        </w:rPr>
      </w:pPr>
    </w:p>
    <w:p w14:paraId="69B139FE" w14:textId="77777777" w:rsidR="001B28E7" w:rsidRDefault="001B28E7">
      <w:pPr>
        <w:pStyle w:val="BodyText"/>
        <w:rPr>
          <w:rFonts w:ascii="Times New Roman"/>
          <w:sz w:val="20"/>
        </w:rPr>
      </w:pPr>
    </w:p>
    <w:p w14:paraId="73289B4D" w14:textId="77777777" w:rsidR="001B28E7" w:rsidRDefault="001B28E7">
      <w:pPr>
        <w:pStyle w:val="BodyText"/>
        <w:rPr>
          <w:rFonts w:ascii="Times New Roman"/>
          <w:sz w:val="20"/>
        </w:rPr>
      </w:pPr>
    </w:p>
    <w:p w14:paraId="77DAD08E" w14:textId="77777777" w:rsidR="001B28E7" w:rsidRDefault="001B28E7">
      <w:pPr>
        <w:pStyle w:val="BodyText"/>
        <w:rPr>
          <w:rFonts w:ascii="Times New Roman"/>
          <w:sz w:val="20"/>
        </w:rPr>
      </w:pPr>
    </w:p>
    <w:p w14:paraId="207FD3E5" w14:textId="77777777" w:rsidR="001B28E7" w:rsidRDefault="001B28E7">
      <w:pPr>
        <w:pStyle w:val="BodyText"/>
        <w:spacing w:before="5"/>
        <w:rPr>
          <w:rFonts w:ascii="Times New Roman"/>
          <w:sz w:val="27"/>
        </w:rPr>
      </w:pPr>
    </w:p>
    <w:p w14:paraId="62F0B8DA" w14:textId="77777777" w:rsidR="001B28E7" w:rsidRDefault="00332519">
      <w:pPr>
        <w:pStyle w:val="BodyText"/>
        <w:spacing w:before="91"/>
        <w:ind w:left="973"/>
      </w:pPr>
      <w:r>
        <w:rPr>
          <w:noProof/>
        </w:rPr>
        <w:drawing>
          <wp:anchor distT="0" distB="0" distL="0" distR="0" simplePos="0" relativeHeight="15728640" behindDoc="0" locked="0" layoutInCell="1" allowOverlap="1" wp14:anchorId="3E4542D8" wp14:editId="0222360F">
            <wp:simplePos x="0" y="0"/>
            <wp:positionH relativeFrom="page">
              <wp:posOffset>6471896</wp:posOffset>
            </wp:positionH>
            <wp:positionV relativeFrom="paragraph">
              <wp:posOffset>-746027</wp:posOffset>
            </wp:positionV>
            <wp:extent cx="989101" cy="988749"/>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989101" cy="988749"/>
                    </a:xfrm>
                    <a:prstGeom prst="rect">
                      <a:avLst/>
                    </a:prstGeom>
                  </pic:spPr>
                </pic:pic>
              </a:graphicData>
            </a:graphic>
          </wp:anchor>
        </w:drawing>
      </w:r>
      <w:r>
        <w:rPr>
          <w:color w:val="413854"/>
          <w:spacing w:val="-2"/>
          <w:w w:val="90"/>
        </w:rPr>
        <w:t>WILD</w:t>
      </w:r>
      <w:r>
        <w:rPr>
          <w:color w:val="413854"/>
          <w:spacing w:val="-10"/>
          <w:w w:val="90"/>
        </w:rPr>
        <w:t xml:space="preserve"> </w:t>
      </w:r>
      <w:r>
        <w:rPr>
          <w:color w:val="413854"/>
          <w:spacing w:val="-2"/>
          <w:w w:val="90"/>
        </w:rPr>
        <w:t>BLUEBERRY</w:t>
      </w:r>
      <w:r>
        <w:rPr>
          <w:color w:val="413854"/>
          <w:spacing w:val="19"/>
        </w:rPr>
        <w:t xml:space="preserve"> </w:t>
      </w:r>
      <w:r>
        <w:rPr>
          <w:color w:val="413854"/>
          <w:spacing w:val="-2"/>
          <w:w w:val="90"/>
        </w:rPr>
        <w:t>ASSOCIATION</w:t>
      </w:r>
      <w:r>
        <w:rPr>
          <w:color w:val="413854"/>
          <w:spacing w:val="9"/>
        </w:rPr>
        <w:t xml:space="preserve"> </w:t>
      </w:r>
      <w:r>
        <w:rPr>
          <w:color w:val="413854"/>
          <w:spacing w:val="-2"/>
          <w:w w:val="90"/>
        </w:rPr>
        <w:t>OF</w:t>
      </w:r>
      <w:r>
        <w:rPr>
          <w:color w:val="413854"/>
          <w:spacing w:val="-8"/>
        </w:rPr>
        <w:t xml:space="preserve"> </w:t>
      </w:r>
      <w:r>
        <w:rPr>
          <w:color w:val="413854"/>
          <w:spacing w:val="-2"/>
          <w:w w:val="90"/>
        </w:rPr>
        <w:t>NORTH</w:t>
      </w:r>
      <w:r>
        <w:rPr>
          <w:color w:val="413854"/>
          <w:spacing w:val="-6"/>
        </w:rPr>
        <w:t xml:space="preserve"> </w:t>
      </w:r>
      <w:r>
        <w:rPr>
          <w:color w:val="413854"/>
          <w:spacing w:val="-2"/>
          <w:w w:val="90"/>
        </w:rPr>
        <w:t>AMERICA</w:t>
      </w:r>
    </w:p>
    <w:p w14:paraId="47F07A08" w14:textId="77777777" w:rsidR="001B28E7" w:rsidRDefault="001B28E7">
      <w:pPr>
        <w:pStyle w:val="BodyText"/>
        <w:rPr>
          <w:sz w:val="20"/>
        </w:rPr>
      </w:pPr>
    </w:p>
    <w:p w14:paraId="6F8661E4" w14:textId="77777777" w:rsidR="001B28E7" w:rsidRDefault="001B28E7">
      <w:pPr>
        <w:pStyle w:val="BodyText"/>
        <w:rPr>
          <w:sz w:val="20"/>
        </w:rPr>
      </w:pPr>
    </w:p>
    <w:p w14:paraId="116651A1" w14:textId="77777777" w:rsidR="001B28E7" w:rsidRDefault="001B28E7">
      <w:pPr>
        <w:pStyle w:val="BodyText"/>
        <w:spacing w:before="10"/>
        <w:rPr>
          <w:sz w:val="26"/>
        </w:rPr>
      </w:pPr>
    </w:p>
    <w:p w14:paraId="1D565340" w14:textId="77777777" w:rsidR="001B28E7" w:rsidRDefault="00332519">
      <w:pPr>
        <w:tabs>
          <w:tab w:val="left" w:pos="3258"/>
          <w:tab w:val="left" w:pos="5407"/>
        </w:tabs>
        <w:spacing w:before="93"/>
        <w:ind w:left="1295"/>
        <w:rPr>
          <w:b/>
          <w:sz w:val="19"/>
        </w:rPr>
      </w:pPr>
      <w:r>
        <w:rPr>
          <w:color w:val="899C54"/>
          <w:w w:val="90"/>
          <w:sz w:val="23"/>
        </w:rPr>
        <w:t>P</w:t>
      </w:r>
      <w:r>
        <w:rPr>
          <w:color w:val="AAB18E"/>
          <w:w w:val="90"/>
          <w:sz w:val="23"/>
        </w:rPr>
        <w:t>:</w:t>
      </w:r>
      <w:r>
        <w:rPr>
          <w:color w:val="AAB18E"/>
          <w:spacing w:val="-4"/>
          <w:w w:val="90"/>
          <w:sz w:val="23"/>
        </w:rPr>
        <w:t xml:space="preserve"> </w:t>
      </w:r>
      <w:r>
        <w:rPr>
          <w:color w:val="595959"/>
          <w:spacing w:val="-2"/>
          <w:sz w:val="23"/>
        </w:rPr>
        <w:t>207.570.3535</w:t>
      </w:r>
      <w:r>
        <w:rPr>
          <w:color w:val="595959"/>
          <w:sz w:val="23"/>
        </w:rPr>
        <w:tab/>
      </w:r>
      <w:r>
        <w:rPr>
          <w:color w:val="899C54"/>
          <w:sz w:val="23"/>
        </w:rPr>
        <w:t>I</w:t>
      </w:r>
      <w:r>
        <w:rPr>
          <w:color w:val="899C54"/>
          <w:spacing w:val="38"/>
          <w:sz w:val="23"/>
        </w:rPr>
        <w:t xml:space="preserve"> </w:t>
      </w:r>
      <w:r>
        <w:rPr>
          <w:color w:val="AAB18E"/>
          <w:sz w:val="23"/>
        </w:rPr>
        <w:t>F:</w:t>
      </w:r>
      <w:r>
        <w:rPr>
          <w:color w:val="AAB18E"/>
          <w:spacing w:val="8"/>
          <w:sz w:val="23"/>
        </w:rPr>
        <w:t xml:space="preserve"> </w:t>
      </w:r>
      <w:r>
        <w:rPr>
          <w:color w:val="595959"/>
          <w:spacing w:val="-2"/>
          <w:sz w:val="23"/>
        </w:rPr>
        <w:t>207</w:t>
      </w:r>
      <w:r>
        <w:rPr>
          <w:color w:val="838383"/>
          <w:spacing w:val="-2"/>
          <w:sz w:val="23"/>
        </w:rPr>
        <w:t>.</w:t>
      </w:r>
      <w:r>
        <w:rPr>
          <w:color w:val="595959"/>
          <w:spacing w:val="-2"/>
          <w:sz w:val="23"/>
        </w:rPr>
        <w:t>58</w:t>
      </w:r>
      <w:r>
        <w:rPr>
          <w:color w:val="212121"/>
          <w:spacing w:val="-2"/>
          <w:sz w:val="23"/>
        </w:rPr>
        <w:t>1</w:t>
      </w:r>
      <w:r>
        <w:rPr>
          <w:color w:val="727272"/>
          <w:spacing w:val="-2"/>
          <w:sz w:val="23"/>
        </w:rPr>
        <w:t>.3499</w:t>
      </w:r>
      <w:r>
        <w:rPr>
          <w:color w:val="727272"/>
          <w:sz w:val="23"/>
        </w:rPr>
        <w:tab/>
      </w:r>
      <w:r>
        <w:rPr>
          <w:color w:val="A1B567"/>
          <w:sz w:val="23"/>
        </w:rPr>
        <w:t>I</w:t>
      </w:r>
      <w:r>
        <w:rPr>
          <w:color w:val="A1B567"/>
          <w:spacing w:val="69"/>
          <w:sz w:val="23"/>
        </w:rPr>
        <w:t xml:space="preserve"> </w:t>
      </w:r>
      <w:r>
        <w:rPr>
          <w:b/>
          <w:color w:val="899C54"/>
          <w:spacing w:val="-2"/>
          <w:sz w:val="19"/>
        </w:rPr>
        <w:t>wildblueberries.com</w:t>
      </w:r>
    </w:p>
    <w:sectPr w:rsidR="001B28E7">
      <w:type w:val="continuous"/>
      <w:pgSz w:w="12240" w:h="15840"/>
      <w:pgMar w:top="500" w:right="3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7A12"/>
    <w:multiLevelType w:val="hybridMultilevel"/>
    <w:tmpl w:val="C28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13CA6"/>
    <w:multiLevelType w:val="hybridMultilevel"/>
    <w:tmpl w:val="B454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45DBA"/>
    <w:multiLevelType w:val="hybridMultilevel"/>
    <w:tmpl w:val="014E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137CE"/>
    <w:multiLevelType w:val="hybridMultilevel"/>
    <w:tmpl w:val="40C2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454AA"/>
    <w:multiLevelType w:val="hybridMultilevel"/>
    <w:tmpl w:val="AD82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E7"/>
    <w:rsid w:val="00063D10"/>
    <w:rsid w:val="001B28E7"/>
    <w:rsid w:val="00332519"/>
    <w:rsid w:val="006808AB"/>
    <w:rsid w:val="0099315D"/>
    <w:rsid w:val="009E2DF9"/>
    <w:rsid w:val="00A85867"/>
    <w:rsid w:val="00C014F7"/>
    <w:rsid w:val="00C733B6"/>
    <w:rsid w:val="00DC56D9"/>
    <w:rsid w:val="00F1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D7EF"/>
  <w15:docId w15:val="{C2282AA2-44D2-764A-994E-9553D199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C014F7"/>
    <w:pPr>
      <w:keepNext/>
      <w:keepLines/>
      <w:widowControl/>
      <w:autoSpaceDE/>
      <w:autoSpaceDN/>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014F7"/>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C014F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014F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014F7"/>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4F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01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wildblueberries.com/why-wild/growing-harv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dc.nal.usda.gov/fdc-app.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Gardner</dc:creator>
  <cp:lastModifiedBy>Winsor, Tina</cp:lastModifiedBy>
  <cp:revision>2</cp:revision>
  <dcterms:created xsi:type="dcterms:W3CDTF">2024-02-27T18:29:00Z</dcterms:created>
  <dcterms:modified xsi:type="dcterms:W3CDTF">2024-02-27T18:29:00Z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Microsoft® Word 2016</vt:lpwstr>
  </property>
  <property fmtid="{D5CDD505-2E9C-101B-9397-08002B2CF9AE}" pid="4" name="LastSaved">
    <vt:filetime>2022-04-26T00:00:00Z</vt:filetime>
  </property>
</Properties>
</file>